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outlineLvl w:val="0"/>
        <w:rPr>
          <w:rFonts w:hint="default" w:ascii="仿宋_GB2312" w:hAnsi="仿宋_GB2312" w:eastAsia="仿宋_GB2312" w:cs="仿宋_GB2312"/>
          <w:b w:val="0"/>
          <w:bCs w:val="0"/>
          <w:spacing w:val="10"/>
          <w:sz w:val="32"/>
          <w:szCs w:val="32"/>
          <w:lang w:val="en-US" w:eastAsia="zh-CN"/>
        </w:rPr>
      </w:pP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000000" w:themeColor="text1"/>
          <w:spacing w:val="10"/>
          <w:kern w:val="2"/>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10"/>
          <w:kern w:val="2"/>
          <w:sz w:val="44"/>
          <w:szCs w:val="44"/>
          <w14:textFill>
            <w14:solidFill>
              <w14:schemeClr w14:val="tx1"/>
            </w14:solidFill>
          </w14:textFill>
        </w:rPr>
        <w:t>绿色鄂尔多斯发展基金管理</w:t>
      </w:r>
      <w:r>
        <w:rPr>
          <w:rFonts w:hint="eastAsia" w:ascii="方正小标宋简体" w:hAnsi="方正小标宋简体" w:eastAsia="方正小标宋简体" w:cs="方正小标宋简体"/>
          <w:color w:val="000000" w:themeColor="text1"/>
          <w:spacing w:val="10"/>
          <w:kern w:val="2"/>
          <w:sz w:val="44"/>
          <w:szCs w:val="44"/>
          <w:lang w:val="en-US" w:eastAsia="zh-CN"/>
          <w14:textFill>
            <w14:solidFill>
              <w14:schemeClr w14:val="tx1"/>
            </w14:solidFill>
          </w14:textFill>
        </w:rPr>
        <w:t>机构</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Style w:val="16"/>
          <w:rFonts w:ascii="仿宋" w:hAnsi="仿宋" w:eastAsia="仿宋" w:cs="宋体"/>
          <w:i w:val="0"/>
          <w:color w:val="000000" w:themeColor="text1"/>
          <w:sz w:val="21"/>
          <w14:textFill>
            <w14:solidFill>
              <w14:schemeClr w14:val="tx1"/>
            </w14:solidFill>
          </w14:textFill>
        </w:rPr>
      </w:pPr>
      <w:r>
        <w:rPr>
          <w:rFonts w:hint="eastAsia" w:ascii="方正小标宋简体" w:hAnsi="方正小标宋简体" w:eastAsia="方正小标宋简体" w:cs="方正小标宋简体"/>
          <w:color w:val="000000" w:themeColor="text1"/>
          <w:spacing w:val="10"/>
          <w:kern w:val="2"/>
          <w:sz w:val="44"/>
          <w:szCs w:val="44"/>
          <w14:textFill>
            <w14:solidFill>
              <w14:schemeClr w14:val="tx1"/>
            </w14:solidFill>
          </w14:textFill>
        </w:rPr>
        <w:t>申请指南</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ascii="仿宋" w:hAnsi="仿宋" w:eastAsia="仿宋" w:cs="Times New Roman"/>
          <w:color w:val="000000" w:themeColor="text1"/>
          <w:spacing w:val="10"/>
          <w:kern w:val="2"/>
          <w:sz w:val="32"/>
          <w:szCs w:val="32"/>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rPr>
      </w:pPr>
      <w:r>
        <w:rPr>
          <w:rFonts w:hint="eastAsia" w:ascii="仿宋_GB2312" w:hAnsi="仿宋_GB2312" w:eastAsia="仿宋_GB2312" w:cs="仿宋_GB2312"/>
          <w:b w:val="0"/>
          <w:bCs w:val="0"/>
          <w:spacing w:val="10"/>
          <w:sz w:val="32"/>
          <w:szCs w:val="32"/>
        </w:rPr>
        <w:t>按照《</w:t>
      </w:r>
      <w:bookmarkStart w:id="7" w:name="_GoBack"/>
      <w:bookmarkEnd w:id="7"/>
      <w:r>
        <w:rPr>
          <w:rFonts w:hint="eastAsia" w:ascii="仿宋_GB2312" w:hAnsi="仿宋_GB2312" w:eastAsia="仿宋_GB2312" w:cs="仿宋_GB2312"/>
          <w:b w:val="0"/>
          <w:bCs w:val="0"/>
          <w:spacing w:val="10"/>
          <w:sz w:val="32"/>
          <w:szCs w:val="32"/>
          <w:lang w:val="en-US" w:eastAsia="zh-CN"/>
        </w:rPr>
        <w:t>鄂尔多斯市人民政府关于印发</w:t>
      </w:r>
      <w:r>
        <w:rPr>
          <w:rFonts w:hint="default" w:ascii="仿宋_GB2312" w:hAnsi="仿宋_GB2312" w:eastAsia="仿宋_GB2312" w:cs="仿宋_GB2312"/>
          <w:b w:val="0"/>
          <w:bCs w:val="0"/>
          <w:spacing w:val="10"/>
          <w:sz w:val="32"/>
          <w:szCs w:val="32"/>
        </w:rPr>
        <w:t>绿色鄂尔多斯发展基金及配套支持体系推进方案</w:t>
      </w:r>
      <w:r>
        <w:rPr>
          <w:rFonts w:hint="eastAsia" w:ascii="仿宋_GB2312" w:hAnsi="仿宋_GB2312" w:eastAsia="仿宋_GB2312" w:cs="仿宋_GB2312"/>
          <w:b w:val="0"/>
          <w:bCs w:val="0"/>
          <w:spacing w:val="10"/>
          <w:sz w:val="32"/>
          <w:szCs w:val="32"/>
          <w:lang w:val="en-US" w:eastAsia="zh-CN"/>
        </w:rPr>
        <w:t>的通知</w:t>
      </w:r>
      <w:r>
        <w:rPr>
          <w:rFonts w:hint="eastAsia" w:ascii="仿宋_GB2312" w:hAnsi="仿宋_GB2312" w:eastAsia="仿宋_GB2312" w:cs="仿宋_GB2312"/>
          <w:b w:val="0"/>
          <w:bCs w:val="0"/>
          <w:spacing w:val="10"/>
          <w:sz w:val="32"/>
          <w:szCs w:val="32"/>
        </w:rPr>
        <w:t>》（</w:t>
      </w:r>
      <w:r>
        <w:rPr>
          <w:rFonts w:hint="eastAsia" w:ascii="仿宋_GB2312" w:hAnsi="仿宋_GB2312" w:eastAsia="仿宋_GB2312" w:cs="仿宋_GB2312"/>
          <w:b w:val="0"/>
          <w:bCs w:val="0"/>
          <w:spacing w:val="10"/>
          <w:sz w:val="32"/>
          <w:szCs w:val="32"/>
          <w:lang w:val="en-US" w:eastAsia="zh-CN"/>
        </w:rPr>
        <w:t>鄂府</w:t>
      </w:r>
      <w:r>
        <w:rPr>
          <w:rFonts w:hint="eastAsia" w:ascii="仿宋_GB2312" w:hAnsi="仿宋_GB2312" w:eastAsia="仿宋_GB2312" w:cs="仿宋_GB2312"/>
          <w:b w:val="0"/>
          <w:bCs w:val="0"/>
          <w:spacing w:val="10"/>
          <w:sz w:val="32"/>
          <w:szCs w:val="32"/>
        </w:rPr>
        <w:t>发〔201</w:t>
      </w:r>
      <w:r>
        <w:rPr>
          <w:rFonts w:hint="eastAsia" w:ascii="仿宋_GB2312" w:hAnsi="仿宋_GB2312" w:eastAsia="仿宋_GB2312" w:cs="仿宋_GB2312"/>
          <w:b w:val="0"/>
          <w:bCs w:val="0"/>
          <w:spacing w:val="10"/>
          <w:sz w:val="32"/>
          <w:szCs w:val="32"/>
          <w:lang w:val="en-US" w:eastAsia="zh-CN"/>
        </w:rPr>
        <w:t>9</w:t>
      </w:r>
      <w:r>
        <w:rPr>
          <w:rFonts w:hint="eastAsia" w:ascii="仿宋_GB2312" w:hAnsi="仿宋_GB2312" w:eastAsia="仿宋_GB2312" w:cs="仿宋_GB2312"/>
          <w:b w:val="0"/>
          <w:bCs w:val="0"/>
          <w:spacing w:val="10"/>
          <w:sz w:val="32"/>
          <w:szCs w:val="32"/>
        </w:rPr>
        <w:t>〕</w:t>
      </w:r>
      <w:r>
        <w:rPr>
          <w:rFonts w:hint="eastAsia" w:ascii="仿宋_GB2312" w:hAnsi="仿宋_GB2312" w:eastAsia="仿宋_GB2312" w:cs="仿宋_GB2312"/>
          <w:b w:val="0"/>
          <w:bCs w:val="0"/>
          <w:spacing w:val="10"/>
          <w:sz w:val="32"/>
          <w:szCs w:val="32"/>
          <w:lang w:val="en-US" w:eastAsia="zh-CN"/>
        </w:rPr>
        <w:t>71</w:t>
      </w:r>
      <w:r>
        <w:rPr>
          <w:rFonts w:hint="eastAsia" w:ascii="仿宋_GB2312" w:hAnsi="仿宋_GB2312" w:eastAsia="仿宋_GB2312" w:cs="仿宋_GB2312"/>
          <w:b w:val="0"/>
          <w:bCs w:val="0"/>
          <w:spacing w:val="10"/>
          <w:sz w:val="32"/>
          <w:szCs w:val="32"/>
        </w:rPr>
        <w:t>号）</w:t>
      </w:r>
      <w:r>
        <w:rPr>
          <w:rFonts w:hint="eastAsia" w:ascii="仿宋_GB2312" w:hAnsi="仿宋_GB2312" w:eastAsia="仿宋_GB2312" w:cs="仿宋_GB2312"/>
          <w:b w:val="0"/>
          <w:bCs w:val="0"/>
          <w:spacing w:val="10"/>
          <w:sz w:val="32"/>
          <w:szCs w:val="32"/>
          <w:lang w:val="en-US" w:eastAsia="zh-CN"/>
        </w:rPr>
        <w:t>要求，由鄂尔多斯市转型发展投资有限责任公司牵头设立绿色鄂尔多斯发展基金</w:t>
      </w:r>
      <w:r>
        <w:rPr>
          <w:rFonts w:hint="eastAsia" w:ascii="仿宋_GB2312" w:hAnsi="仿宋_GB2312" w:eastAsia="仿宋_GB2312" w:cs="仿宋_GB2312"/>
          <w:b w:val="0"/>
          <w:bCs w:val="0"/>
          <w:spacing w:val="10"/>
          <w:sz w:val="32"/>
          <w:szCs w:val="32"/>
        </w:rPr>
        <w:t>。现根据工作需要，面向全国公开</w:t>
      </w:r>
      <w:r>
        <w:rPr>
          <w:rFonts w:hint="eastAsia" w:ascii="仿宋_GB2312" w:hAnsi="仿宋_GB2312" w:eastAsia="仿宋_GB2312" w:cs="仿宋_GB2312"/>
          <w:b w:val="0"/>
          <w:bCs w:val="0"/>
          <w:spacing w:val="10"/>
          <w:sz w:val="32"/>
          <w:szCs w:val="32"/>
          <w:lang w:val="en-US" w:eastAsia="zh-CN"/>
        </w:rPr>
        <w:t>择优选择绿色鄂尔多斯发展基金管理机构</w:t>
      </w:r>
      <w:r>
        <w:rPr>
          <w:rFonts w:hint="eastAsia" w:ascii="仿宋_GB2312" w:hAnsi="仿宋_GB2312" w:eastAsia="仿宋_GB2312" w:cs="仿宋_GB2312"/>
          <w:b w:val="0"/>
          <w:bCs w:val="0"/>
          <w:spacing w:val="10"/>
          <w:sz w:val="32"/>
          <w:szCs w:val="32"/>
        </w:rPr>
        <w:t>。为规范和指导基金</w:t>
      </w:r>
      <w:r>
        <w:rPr>
          <w:rFonts w:hint="eastAsia" w:ascii="仿宋_GB2312" w:hAnsi="仿宋_GB2312" w:eastAsia="仿宋_GB2312" w:cs="仿宋_GB2312"/>
          <w:b w:val="0"/>
          <w:bCs w:val="0"/>
          <w:spacing w:val="10"/>
          <w:sz w:val="32"/>
          <w:szCs w:val="32"/>
          <w:lang w:val="en-US" w:eastAsia="zh-CN"/>
        </w:rPr>
        <w:t>管理机构</w:t>
      </w:r>
      <w:r>
        <w:rPr>
          <w:rFonts w:hint="eastAsia" w:ascii="仿宋_GB2312" w:hAnsi="仿宋_GB2312" w:eastAsia="仿宋_GB2312" w:cs="仿宋_GB2312"/>
          <w:b w:val="0"/>
          <w:bCs w:val="0"/>
          <w:spacing w:val="10"/>
          <w:sz w:val="32"/>
          <w:szCs w:val="32"/>
          <w:lang w:eastAsia="zh-CN"/>
        </w:rPr>
        <w:t>申请</w:t>
      </w:r>
      <w:r>
        <w:rPr>
          <w:rFonts w:hint="eastAsia" w:ascii="仿宋_GB2312" w:hAnsi="仿宋_GB2312" w:eastAsia="仿宋_GB2312" w:cs="仿宋_GB2312"/>
          <w:b w:val="0"/>
          <w:bCs w:val="0"/>
          <w:spacing w:val="10"/>
          <w:sz w:val="32"/>
          <w:szCs w:val="32"/>
        </w:rPr>
        <w:t>程序，</w:t>
      </w:r>
      <w:r>
        <w:rPr>
          <w:rFonts w:hint="eastAsia" w:ascii="仿宋_GB2312" w:hAnsi="仿宋_GB2312" w:eastAsia="仿宋_GB2312" w:cs="仿宋_GB2312"/>
          <w:b w:val="0"/>
          <w:bCs w:val="0"/>
          <w:spacing w:val="10"/>
          <w:sz w:val="32"/>
          <w:szCs w:val="32"/>
          <w:lang w:val="en-US" w:eastAsia="zh-CN"/>
        </w:rPr>
        <w:t>特</w:t>
      </w:r>
      <w:r>
        <w:rPr>
          <w:rFonts w:hint="eastAsia" w:ascii="仿宋_GB2312" w:hAnsi="仿宋_GB2312" w:eastAsia="仿宋_GB2312" w:cs="仿宋_GB2312"/>
          <w:b w:val="0"/>
          <w:bCs w:val="0"/>
          <w:spacing w:val="10"/>
          <w:sz w:val="32"/>
          <w:szCs w:val="32"/>
        </w:rPr>
        <w:t>制定本指南。</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黑体" w:hAnsi="黑体" w:eastAsia="黑体" w:cs="黑体"/>
          <w:b w:val="0"/>
          <w:bCs w:val="0"/>
          <w:spacing w:val="10"/>
          <w:sz w:val="32"/>
          <w:szCs w:val="32"/>
        </w:rPr>
      </w:pPr>
      <w:r>
        <w:rPr>
          <w:rFonts w:hint="eastAsia" w:ascii="黑体" w:hAnsi="黑体" w:eastAsia="黑体" w:cs="黑体"/>
          <w:b w:val="0"/>
          <w:bCs w:val="0"/>
          <w:spacing w:val="10"/>
          <w:sz w:val="32"/>
          <w:szCs w:val="32"/>
        </w:rPr>
        <w:t>一、</w:t>
      </w:r>
      <w:r>
        <w:rPr>
          <w:rFonts w:hint="eastAsia" w:ascii="黑体" w:hAnsi="黑体" w:eastAsia="黑体" w:cs="黑体"/>
          <w:b w:val="0"/>
          <w:bCs w:val="0"/>
          <w:spacing w:val="10"/>
          <w:sz w:val="32"/>
          <w:szCs w:val="32"/>
          <w:lang w:val="en-US" w:eastAsia="zh-CN"/>
        </w:rPr>
        <w:t>基金</w:t>
      </w:r>
      <w:r>
        <w:rPr>
          <w:rFonts w:hint="eastAsia" w:ascii="黑体" w:hAnsi="黑体" w:eastAsia="黑体" w:cs="黑体"/>
          <w:b w:val="0"/>
          <w:bCs w:val="0"/>
          <w:spacing w:val="10"/>
          <w:sz w:val="32"/>
          <w:szCs w:val="32"/>
        </w:rPr>
        <w:t>基本情况</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楷体" w:hAnsi="楷体" w:eastAsia="楷体" w:cs="楷体"/>
          <w:b w:val="0"/>
          <w:bCs w:val="0"/>
          <w:spacing w:val="10"/>
          <w:sz w:val="32"/>
          <w:szCs w:val="32"/>
          <w:lang w:eastAsia="zh-CN"/>
        </w:rPr>
      </w:pPr>
      <w:r>
        <w:rPr>
          <w:rFonts w:hint="eastAsia" w:ascii="楷体" w:hAnsi="楷体" w:eastAsia="楷体" w:cs="楷体"/>
          <w:b w:val="0"/>
          <w:bCs w:val="0"/>
          <w:spacing w:val="10"/>
          <w:sz w:val="32"/>
          <w:szCs w:val="32"/>
        </w:rPr>
        <w:t>（一）基金</w:t>
      </w:r>
      <w:r>
        <w:rPr>
          <w:rFonts w:hint="eastAsia" w:ascii="楷体" w:hAnsi="楷体" w:eastAsia="楷体" w:cs="楷体"/>
          <w:b w:val="0"/>
          <w:bCs w:val="0"/>
          <w:spacing w:val="10"/>
          <w:sz w:val="32"/>
          <w:szCs w:val="32"/>
          <w:lang w:val="en-US" w:eastAsia="zh-CN"/>
        </w:rPr>
        <w:t>规模</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default" w:ascii="仿宋_GB2312" w:hAnsi="仿宋_GB2312" w:eastAsia="仿宋_GB2312" w:cs="仿宋_GB2312"/>
          <w:b w:val="0"/>
          <w:bCs w:val="0"/>
          <w:spacing w:val="10"/>
          <w:sz w:val="32"/>
          <w:szCs w:val="32"/>
          <w:lang w:val="en-US" w:eastAsia="zh-CN"/>
        </w:rPr>
      </w:pPr>
      <w:r>
        <w:rPr>
          <w:rFonts w:hint="eastAsia" w:ascii="仿宋_GB2312" w:hAnsi="仿宋_GB2312" w:eastAsia="仿宋_GB2312" w:cs="仿宋_GB2312"/>
          <w:b w:val="0"/>
          <w:bCs w:val="0"/>
          <w:spacing w:val="10"/>
          <w:sz w:val="32"/>
          <w:szCs w:val="32"/>
          <w:lang w:val="en-US" w:eastAsia="zh-CN"/>
        </w:rPr>
        <w:t>基金首期规模10亿元，其中鄂尔多斯市转型发展投资有限责任公司出资5000万元，其他出资人均已向鄂尔多斯市转型发展投资有限责任公司出具出资意向函。后续根据项目需要由基金管理机构分期向金融机构、国有企业、社会资本等私募基金合格投资者定向募集，逐步扩大基金规模。</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default" w:ascii="楷体" w:hAnsi="楷体" w:eastAsia="楷体" w:cs="楷体"/>
          <w:b w:val="0"/>
          <w:bCs w:val="0"/>
          <w:spacing w:val="10"/>
          <w:sz w:val="32"/>
          <w:szCs w:val="32"/>
          <w:lang w:val="en-US" w:eastAsia="zh-CN"/>
        </w:rPr>
      </w:pPr>
      <w:r>
        <w:rPr>
          <w:rFonts w:hint="eastAsia" w:ascii="楷体" w:hAnsi="楷体" w:eastAsia="楷体" w:cs="楷体"/>
          <w:b w:val="0"/>
          <w:bCs w:val="0"/>
          <w:spacing w:val="10"/>
          <w:sz w:val="32"/>
          <w:szCs w:val="32"/>
        </w:rPr>
        <w:t>（二）投资方式</w:t>
      </w:r>
      <w:r>
        <w:rPr>
          <w:rFonts w:hint="eastAsia" w:ascii="楷体" w:hAnsi="楷体" w:eastAsia="楷体" w:cs="楷体"/>
          <w:b w:val="0"/>
          <w:bCs w:val="0"/>
          <w:spacing w:val="10"/>
          <w:sz w:val="32"/>
          <w:szCs w:val="32"/>
          <w:lang w:val="en-US" w:eastAsia="zh-CN"/>
        </w:rPr>
        <w:t>和方向</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default" w:ascii="仿宋_GB2312" w:hAnsi="仿宋_GB2312" w:eastAsia="仿宋_GB2312" w:cs="仿宋_GB2312"/>
          <w:b w:val="0"/>
          <w:bCs w:val="0"/>
          <w:spacing w:val="10"/>
          <w:sz w:val="32"/>
          <w:szCs w:val="32"/>
          <w:lang w:val="en-US" w:eastAsia="zh-CN"/>
        </w:rPr>
      </w:pPr>
      <w:r>
        <w:rPr>
          <w:rFonts w:hint="default" w:ascii="仿宋_GB2312" w:hAnsi="仿宋_GB2312" w:eastAsia="仿宋_GB2312" w:cs="仿宋_GB2312"/>
          <w:b w:val="0"/>
          <w:bCs w:val="0"/>
          <w:spacing w:val="10"/>
          <w:sz w:val="32"/>
          <w:szCs w:val="32"/>
          <w:lang w:val="en-US" w:eastAsia="zh-CN"/>
        </w:rPr>
        <w:t>通过股权直接投资和设立子基金的模式重点投向</w:t>
      </w:r>
      <w:r>
        <w:rPr>
          <w:rFonts w:hint="eastAsia" w:ascii="仿宋_GB2312" w:hAnsi="仿宋_GB2312" w:eastAsia="仿宋_GB2312" w:cs="仿宋_GB2312"/>
          <w:b w:val="0"/>
          <w:bCs w:val="0"/>
          <w:spacing w:val="10"/>
          <w:sz w:val="32"/>
          <w:szCs w:val="32"/>
          <w:lang w:val="en-US" w:eastAsia="zh-CN"/>
        </w:rPr>
        <w:t>内蒙古</w:t>
      </w:r>
      <w:r>
        <w:rPr>
          <w:rFonts w:hint="default" w:ascii="仿宋_GB2312" w:hAnsi="仿宋_GB2312" w:eastAsia="仿宋_GB2312" w:cs="仿宋_GB2312"/>
          <w:b w:val="0"/>
          <w:bCs w:val="0"/>
          <w:spacing w:val="10"/>
          <w:sz w:val="32"/>
          <w:szCs w:val="32"/>
          <w:lang w:val="en-US" w:eastAsia="zh-CN"/>
        </w:rPr>
        <w:t>自治区党委确定的生态环保建设“十项行动”和</w:t>
      </w:r>
      <w:r>
        <w:rPr>
          <w:rFonts w:hint="eastAsia" w:ascii="仿宋_GB2312" w:hAnsi="仿宋_GB2312" w:eastAsia="仿宋_GB2312" w:cs="仿宋_GB2312"/>
          <w:b w:val="0"/>
          <w:bCs w:val="0"/>
          <w:spacing w:val="10"/>
          <w:sz w:val="32"/>
          <w:szCs w:val="32"/>
          <w:lang w:val="en-US" w:eastAsia="zh-CN"/>
        </w:rPr>
        <w:t>鄂尔多斯</w:t>
      </w:r>
      <w:r>
        <w:rPr>
          <w:rFonts w:hint="default" w:ascii="仿宋_GB2312" w:hAnsi="仿宋_GB2312" w:eastAsia="仿宋_GB2312" w:cs="仿宋_GB2312"/>
          <w:b w:val="0"/>
          <w:bCs w:val="0"/>
          <w:spacing w:val="10"/>
          <w:sz w:val="32"/>
          <w:szCs w:val="32"/>
          <w:lang w:val="en-US" w:eastAsia="zh-CN"/>
        </w:rPr>
        <w:t>市节能减排、低碳经济、乡村振兴、生态保护、绿色矿山治理、环境治理、水沙置换、新能源推广和资源循环利用、绿色林业发展、草原修复、文化旅游、扶贫攻坚、</w:t>
      </w:r>
      <w:r>
        <w:rPr>
          <w:rFonts w:hint="eastAsia" w:ascii="仿宋_GB2312" w:hAnsi="仿宋_GB2312" w:eastAsia="仿宋_GB2312" w:cs="仿宋_GB2312"/>
          <w:b w:val="0"/>
          <w:bCs w:val="0"/>
          <w:spacing w:val="10"/>
          <w:sz w:val="32"/>
          <w:szCs w:val="32"/>
          <w:lang w:val="en-US" w:eastAsia="zh-CN"/>
        </w:rPr>
        <w:t>种植</w:t>
      </w:r>
      <w:r>
        <w:rPr>
          <w:rFonts w:hint="default" w:ascii="仿宋_GB2312" w:hAnsi="仿宋_GB2312" w:eastAsia="仿宋_GB2312" w:cs="仿宋_GB2312"/>
          <w:b w:val="0"/>
          <w:bCs w:val="0"/>
          <w:spacing w:val="10"/>
          <w:sz w:val="32"/>
          <w:szCs w:val="32"/>
          <w:lang w:val="en-US" w:eastAsia="zh-CN"/>
        </w:rPr>
        <w:t>养殖业、基础设施绿色升级、绿色服务业等项目</w:t>
      </w:r>
      <w:r>
        <w:rPr>
          <w:rFonts w:hint="eastAsia" w:ascii="仿宋_GB2312" w:hAnsi="仿宋_GB2312" w:eastAsia="仿宋_GB2312" w:cs="仿宋_GB2312"/>
          <w:b w:val="0"/>
          <w:bCs w:val="0"/>
          <w:spacing w:val="10"/>
          <w:sz w:val="32"/>
          <w:szCs w:val="32"/>
          <w:lang w:val="en-US" w:eastAsia="zh-CN"/>
        </w:rPr>
        <w:t>以及</w:t>
      </w:r>
      <w:r>
        <w:rPr>
          <w:rFonts w:hint="default" w:ascii="仿宋_GB2312" w:hAnsi="仿宋_GB2312" w:eastAsia="仿宋_GB2312" w:cs="仿宋_GB2312"/>
          <w:b w:val="0"/>
          <w:bCs w:val="0"/>
          <w:spacing w:val="10"/>
          <w:sz w:val="32"/>
          <w:szCs w:val="32"/>
          <w:lang w:val="en-US" w:eastAsia="zh-CN"/>
        </w:rPr>
        <w:t>具有较好的发展前景、成长性好的优质绿色环保企业。</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楷体" w:hAnsi="楷体" w:eastAsia="楷体" w:cs="楷体"/>
          <w:b w:val="0"/>
          <w:bCs w:val="0"/>
          <w:spacing w:val="10"/>
          <w:sz w:val="32"/>
          <w:szCs w:val="32"/>
        </w:rPr>
      </w:pPr>
      <w:r>
        <w:rPr>
          <w:rFonts w:hint="eastAsia" w:ascii="楷体" w:hAnsi="楷体" w:eastAsia="楷体" w:cs="楷体"/>
          <w:b w:val="0"/>
          <w:bCs w:val="0"/>
          <w:spacing w:val="10"/>
          <w:sz w:val="32"/>
          <w:szCs w:val="32"/>
        </w:rPr>
        <w:t>（三）基金托管银行</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val="en-US" w:eastAsia="zh-CN"/>
        </w:rPr>
      </w:pPr>
      <w:r>
        <w:rPr>
          <w:rFonts w:hint="eastAsia" w:ascii="仿宋_GB2312" w:hAnsi="仿宋_GB2312" w:eastAsia="仿宋_GB2312" w:cs="仿宋_GB2312"/>
          <w:b w:val="0"/>
          <w:bCs w:val="0"/>
          <w:spacing w:val="10"/>
          <w:sz w:val="32"/>
          <w:szCs w:val="32"/>
          <w:lang w:val="en-US" w:eastAsia="zh-CN"/>
        </w:rPr>
        <w:t>基金托管银行由选定的基金管理机构与鄂尔多斯市转型发展投资有限责任公司等出资人协商后在市内具有基金托管资质的商业银行择优选定。</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楷体" w:hAnsi="楷体" w:eastAsia="楷体" w:cs="楷体"/>
          <w:b w:val="0"/>
          <w:bCs w:val="0"/>
          <w:spacing w:val="10"/>
          <w:sz w:val="32"/>
          <w:szCs w:val="32"/>
        </w:rPr>
      </w:pPr>
      <w:r>
        <w:rPr>
          <w:rFonts w:hint="eastAsia" w:ascii="楷体" w:hAnsi="楷体" w:eastAsia="楷体" w:cs="楷体"/>
          <w:b w:val="0"/>
          <w:bCs w:val="0"/>
          <w:spacing w:val="10"/>
          <w:sz w:val="32"/>
          <w:szCs w:val="32"/>
        </w:rPr>
        <w:t>（四）基金的组织形式及存续期限</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rPr>
      </w:pPr>
      <w:r>
        <w:rPr>
          <w:rFonts w:hint="eastAsia" w:ascii="仿宋_GB2312" w:hAnsi="仿宋_GB2312" w:eastAsia="仿宋_GB2312" w:cs="仿宋_GB2312"/>
          <w:b w:val="0"/>
          <w:bCs w:val="0"/>
          <w:spacing w:val="10"/>
          <w:sz w:val="32"/>
          <w:szCs w:val="32"/>
        </w:rPr>
        <w:t>绿色鄂尔多斯发展基金的组织形式可采取公司制、有限合伙制、契约制等组织形式。基金存续期限为3+2年</w:t>
      </w:r>
      <w:r>
        <w:rPr>
          <w:rFonts w:hint="eastAsia" w:ascii="仿宋_GB2312" w:hAnsi="仿宋_GB2312" w:eastAsia="仿宋_GB2312" w:cs="仿宋_GB2312"/>
          <w:b w:val="0"/>
          <w:bCs w:val="0"/>
          <w:spacing w:val="10"/>
          <w:sz w:val="32"/>
          <w:szCs w:val="32"/>
          <w:lang w:eastAsia="zh-CN"/>
        </w:rPr>
        <w:t>，</w:t>
      </w:r>
      <w:r>
        <w:rPr>
          <w:rFonts w:hint="eastAsia" w:ascii="仿宋_GB2312" w:hAnsi="仿宋_GB2312" w:eastAsia="仿宋_GB2312" w:cs="仿宋_GB2312"/>
          <w:b w:val="0"/>
          <w:bCs w:val="0"/>
          <w:spacing w:val="10"/>
          <w:sz w:val="32"/>
          <w:szCs w:val="32"/>
          <w:lang w:val="en-US" w:eastAsia="zh-CN"/>
        </w:rPr>
        <w:t>其中投资期3年，退出期2年，经合伙人大会同意，存续期最多可延长2年</w:t>
      </w:r>
      <w:r>
        <w:rPr>
          <w:rFonts w:hint="eastAsia" w:ascii="仿宋_GB2312" w:hAnsi="仿宋_GB2312" w:eastAsia="仿宋_GB2312" w:cs="仿宋_GB2312"/>
          <w:b w:val="0"/>
          <w:bCs w:val="0"/>
          <w:spacing w:val="10"/>
          <w:sz w:val="32"/>
          <w:szCs w:val="32"/>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楷体" w:hAnsi="楷体" w:eastAsia="楷体" w:cs="楷体"/>
          <w:b w:val="0"/>
          <w:bCs w:val="0"/>
          <w:spacing w:val="10"/>
          <w:sz w:val="32"/>
          <w:szCs w:val="32"/>
        </w:rPr>
      </w:pPr>
      <w:r>
        <w:rPr>
          <w:rFonts w:hint="eastAsia" w:ascii="楷体" w:hAnsi="楷体" w:eastAsia="楷体" w:cs="楷体"/>
          <w:b w:val="0"/>
          <w:bCs w:val="0"/>
          <w:spacing w:val="10"/>
          <w:sz w:val="32"/>
          <w:szCs w:val="32"/>
        </w:rPr>
        <w:t>（五）基金退出方式</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default" w:ascii="仿宋_GB2312" w:hAnsi="仿宋_GB2312" w:eastAsia="仿宋_GB2312" w:cs="仿宋_GB2312"/>
          <w:b w:val="0"/>
          <w:bCs w:val="0"/>
          <w:spacing w:val="10"/>
          <w:sz w:val="32"/>
          <w:szCs w:val="32"/>
        </w:rPr>
      </w:pPr>
      <w:r>
        <w:rPr>
          <w:rFonts w:hint="eastAsia" w:ascii="仿宋_GB2312" w:hAnsi="仿宋_GB2312" w:eastAsia="仿宋_GB2312" w:cs="仿宋_GB2312"/>
          <w:b w:val="0"/>
          <w:bCs w:val="0"/>
          <w:spacing w:val="10"/>
          <w:sz w:val="32"/>
          <w:szCs w:val="32"/>
        </w:rPr>
        <w:t>基金到期后</w:t>
      </w:r>
      <w:r>
        <w:rPr>
          <w:rFonts w:hint="eastAsia" w:ascii="仿宋_GB2312" w:hAnsi="仿宋_GB2312" w:eastAsia="仿宋_GB2312" w:cs="仿宋_GB2312"/>
          <w:b w:val="0"/>
          <w:bCs w:val="0"/>
          <w:spacing w:val="10"/>
          <w:sz w:val="32"/>
          <w:szCs w:val="32"/>
          <w:lang w:val="en-US" w:eastAsia="zh-CN"/>
        </w:rPr>
        <w:t>，</w:t>
      </w:r>
      <w:r>
        <w:rPr>
          <w:rFonts w:hint="eastAsia" w:ascii="仿宋_GB2312" w:hAnsi="仿宋_GB2312" w:eastAsia="仿宋_GB2312" w:cs="仿宋_GB2312"/>
          <w:b w:val="0"/>
          <w:bCs w:val="0"/>
          <w:spacing w:val="10"/>
          <w:sz w:val="32"/>
          <w:szCs w:val="32"/>
        </w:rPr>
        <w:t>根据基金投资规模及收益情况适时选择大股东回购、公开市场股权转让以及项目清算等多种退出方式。</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楷体" w:hAnsi="楷体" w:eastAsia="楷体" w:cs="楷体"/>
          <w:b w:val="0"/>
          <w:bCs w:val="0"/>
          <w:spacing w:val="10"/>
          <w:sz w:val="32"/>
          <w:szCs w:val="32"/>
        </w:rPr>
      </w:pPr>
      <w:r>
        <w:rPr>
          <w:rFonts w:hint="eastAsia" w:ascii="楷体" w:hAnsi="楷体" w:eastAsia="楷体" w:cs="楷体"/>
          <w:b w:val="0"/>
          <w:bCs w:val="0"/>
          <w:spacing w:val="10"/>
          <w:sz w:val="32"/>
          <w:szCs w:val="32"/>
        </w:rPr>
        <w:t>（六）鼓励措施</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rPr>
      </w:pPr>
      <w:r>
        <w:rPr>
          <w:rFonts w:hint="eastAsia" w:ascii="仿宋_GB2312" w:hAnsi="仿宋_GB2312" w:eastAsia="仿宋_GB2312" w:cs="仿宋_GB2312"/>
          <w:b w:val="0"/>
          <w:bCs w:val="0"/>
          <w:spacing w:val="10"/>
          <w:sz w:val="32"/>
          <w:szCs w:val="32"/>
        </w:rPr>
        <w:t>为鼓励社会资本积极参与绿色鄂尔多斯发展基金，当基金年化收益达到银行同期贷款基准利率以上但不足10%时，市、旗区</w:t>
      </w:r>
      <w:r>
        <w:rPr>
          <w:rFonts w:hint="eastAsia" w:ascii="仿宋_GB2312" w:hAnsi="仿宋_GB2312" w:eastAsia="仿宋_GB2312" w:cs="仿宋_GB2312"/>
          <w:b w:val="0"/>
          <w:bCs w:val="0"/>
          <w:spacing w:val="10"/>
          <w:sz w:val="32"/>
          <w:szCs w:val="32"/>
          <w:lang w:val="en-US" w:eastAsia="zh-CN"/>
        </w:rPr>
        <w:t>国有企业</w:t>
      </w:r>
      <w:r>
        <w:rPr>
          <w:rFonts w:hint="eastAsia" w:ascii="仿宋_GB2312" w:hAnsi="仿宋_GB2312" w:eastAsia="仿宋_GB2312" w:cs="仿宋_GB2312"/>
          <w:b w:val="0"/>
          <w:bCs w:val="0"/>
          <w:spacing w:val="10"/>
          <w:sz w:val="32"/>
          <w:szCs w:val="32"/>
        </w:rPr>
        <w:t>出资部分</w:t>
      </w:r>
      <w:r>
        <w:rPr>
          <w:rFonts w:hint="eastAsia" w:ascii="仿宋_GB2312" w:hAnsi="仿宋_GB2312" w:eastAsia="仿宋_GB2312" w:cs="仿宋_GB2312"/>
          <w:b w:val="0"/>
          <w:bCs w:val="0"/>
          <w:spacing w:val="10"/>
          <w:sz w:val="32"/>
          <w:szCs w:val="32"/>
          <w:lang w:val="en-US" w:eastAsia="zh-CN"/>
        </w:rPr>
        <w:t>可以</w:t>
      </w:r>
      <w:r>
        <w:rPr>
          <w:rFonts w:hint="eastAsia" w:ascii="仿宋_GB2312" w:hAnsi="仿宋_GB2312" w:eastAsia="仿宋_GB2312" w:cs="仿宋_GB2312"/>
          <w:b w:val="0"/>
          <w:bCs w:val="0"/>
          <w:spacing w:val="10"/>
          <w:sz w:val="32"/>
          <w:szCs w:val="32"/>
        </w:rPr>
        <w:t>将高于银行同期贷款基准利率以上的增值收益全部让渡给相关社会出资人，当年化收益高于10%时，市、旗区</w:t>
      </w:r>
      <w:r>
        <w:rPr>
          <w:rFonts w:hint="eastAsia" w:ascii="仿宋_GB2312" w:hAnsi="仿宋_GB2312" w:eastAsia="仿宋_GB2312" w:cs="仿宋_GB2312"/>
          <w:b w:val="0"/>
          <w:bCs w:val="0"/>
          <w:spacing w:val="10"/>
          <w:sz w:val="32"/>
          <w:szCs w:val="32"/>
          <w:lang w:val="en-US" w:eastAsia="zh-CN"/>
        </w:rPr>
        <w:t>国有企业</w:t>
      </w:r>
      <w:r>
        <w:rPr>
          <w:rFonts w:hint="eastAsia" w:ascii="仿宋_GB2312" w:hAnsi="仿宋_GB2312" w:eastAsia="仿宋_GB2312" w:cs="仿宋_GB2312"/>
          <w:b w:val="0"/>
          <w:bCs w:val="0"/>
          <w:spacing w:val="10"/>
          <w:sz w:val="32"/>
          <w:szCs w:val="32"/>
        </w:rPr>
        <w:t>出资部分按照同股同权与其他社会出资人共享投资收益。</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黑体" w:hAnsi="黑体" w:eastAsia="黑体" w:cs="黑体"/>
          <w:color w:val="000000" w:themeColor="text1"/>
          <w:spacing w:val="10"/>
          <w:kern w:val="2"/>
          <w:sz w:val="32"/>
          <w:szCs w:val="32"/>
          <w14:textFill>
            <w14:solidFill>
              <w14:schemeClr w14:val="tx1"/>
            </w14:solidFill>
          </w14:textFill>
        </w:rPr>
      </w:pPr>
      <w:r>
        <w:rPr>
          <w:rFonts w:hint="eastAsia" w:ascii="黑体" w:hAnsi="黑体" w:eastAsia="黑体" w:cs="黑体"/>
          <w:color w:val="000000" w:themeColor="text1"/>
          <w:spacing w:val="10"/>
          <w:kern w:val="2"/>
          <w:sz w:val="32"/>
          <w:szCs w:val="32"/>
          <w:lang w:val="en-US" w:eastAsia="zh-CN"/>
          <w14:textFill>
            <w14:solidFill>
              <w14:schemeClr w14:val="tx1"/>
            </w14:solidFill>
          </w14:textFill>
        </w:rPr>
        <w:t>二</w:t>
      </w:r>
      <w:r>
        <w:rPr>
          <w:rFonts w:hint="eastAsia" w:ascii="黑体" w:hAnsi="黑体" w:eastAsia="黑体" w:cs="黑体"/>
          <w:color w:val="000000" w:themeColor="text1"/>
          <w:spacing w:val="10"/>
          <w:kern w:val="2"/>
          <w:sz w:val="32"/>
          <w:szCs w:val="32"/>
          <w14:textFill>
            <w14:solidFill>
              <w14:schemeClr w14:val="tx1"/>
            </w14:solidFill>
          </w14:textFill>
        </w:rPr>
        <w:t>、申请条件</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rPr>
      </w:pPr>
      <w:r>
        <w:rPr>
          <w:rFonts w:hint="eastAsia" w:ascii="仿宋_GB2312" w:hAnsi="仿宋_GB2312" w:eastAsia="仿宋_GB2312" w:cs="仿宋_GB2312"/>
          <w:b w:val="0"/>
          <w:bCs w:val="0"/>
          <w:spacing w:val="10"/>
          <w:sz w:val="32"/>
          <w:szCs w:val="32"/>
          <w:lang w:val="en-US" w:eastAsia="zh-CN"/>
        </w:rPr>
        <w:t>申请基金管理机构</w:t>
      </w:r>
      <w:r>
        <w:rPr>
          <w:rFonts w:hint="eastAsia" w:ascii="仿宋_GB2312" w:hAnsi="仿宋_GB2312" w:eastAsia="仿宋_GB2312" w:cs="仿宋_GB2312"/>
          <w:b w:val="0"/>
          <w:bCs w:val="0"/>
          <w:spacing w:val="10"/>
          <w:sz w:val="32"/>
          <w:szCs w:val="32"/>
        </w:rPr>
        <w:t>应符合以下条件：</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rPr>
        <w:t>1.</w:t>
      </w:r>
      <w:r>
        <w:rPr>
          <w:rFonts w:hint="eastAsia" w:ascii="仿宋_GB2312" w:hAnsi="仿宋_GB2312" w:eastAsia="仿宋_GB2312" w:cs="仿宋_GB2312"/>
          <w:b w:val="0"/>
          <w:bCs w:val="0"/>
          <w:spacing w:val="10"/>
          <w:sz w:val="32"/>
          <w:szCs w:val="32"/>
          <w:lang w:eastAsia="zh-CN"/>
        </w:rPr>
        <w:t>基金管理机构</w:t>
      </w:r>
      <w:r>
        <w:rPr>
          <w:rFonts w:hint="eastAsia" w:ascii="仿宋_GB2312" w:hAnsi="仿宋_GB2312" w:eastAsia="仿宋_GB2312" w:cs="仿宋_GB2312"/>
          <w:b w:val="0"/>
          <w:bCs w:val="0"/>
          <w:spacing w:val="10"/>
          <w:sz w:val="32"/>
          <w:szCs w:val="32"/>
        </w:rPr>
        <w:t>须在中国大陆注册，实收资本不低于1000万元人民币且成立时间不低于3年</w:t>
      </w:r>
      <w:r>
        <w:rPr>
          <w:rFonts w:hint="eastAsia" w:ascii="仿宋_GB2312" w:hAnsi="仿宋_GB2312" w:eastAsia="仿宋_GB2312" w:cs="仿宋_GB2312"/>
          <w:b w:val="0"/>
          <w:bCs w:val="0"/>
          <w:spacing w:val="10"/>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rPr>
        <w:t>2.</w:t>
      </w:r>
      <w:r>
        <w:rPr>
          <w:rFonts w:hint="eastAsia" w:ascii="仿宋_GB2312" w:hAnsi="仿宋_GB2312" w:eastAsia="仿宋_GB2312" w:cs="仿宋_GB2312"/>
          <w:b w:val="0"/>
          <w:bCs w:val="0"/>
          <w:spacing w:val="10"/>
          <w:sz w:val="32"/>
          <w:szCs w:val="32"/>
          <w:lang w:eastAsia="zh-CN"/>
        </w:rPr>
        <w:t>基金管理机构</w:t>
      </w:r>
      <w:r>
        <w:rPr>
          <w:rFonts w:hint="eastAsia" w:ascii="仿宋_GB2312" w:hAnsi="仿宋_GB2312" w:eastAsia="仿宋_GB2312" w:cs="仿宋_GB2312"/>
          <w:b w:val="0"/>
          <w:bCs w:val="0"/>
          <w:spacing w:val="10"/>
          <w:sz w:val="32"/>
          <w:szCs w:val="32"/>
        </w:rPr>
        <w:t>累计基金管理规模不低于50亿元，且累计管理基金数量不低于10个，有较强的资金募集能力，有固定的营业场所和与其业务相适应的软硬件设施，具备同类型基金操作经验的申请机构和团队优先</w:t>
      </w:r>
      <w:r>
        <w:rPr>
          <w:rFonts w:hint="eastAsia" w:ascii="仿宋_GB2312" w:hAnsi="仿宋_GB2312" w:eastAsia="仿宋_GB2312" w:cs="仿宋_GB2312"/>
          <w:b w:val="0"/>
          <w:bCs w:val="0"/>
          <w:spacing w:val="10"/>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rPr>
        <w:t>3.有健全的投资管理和风险控制流程，规范的项目遴选机制和投资决策机制，能够为被投资企业提供管理咨询等增值服务</w:t>
      </w:r>
      <w:r>
        <w:rPr>
          <w:rFonts w:hint="eastAsia" w:ascii="仿宋_GB2312" w:hAnsi="仿宋_GB2312" w:eastAsia="仿宋_GB2312" w:cs="仿宋_GB2312"/>
          <w:b w:val="0"/>
          <w:bCs w:val="0"/>
          <w:spacing w:val="10"/>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rPr>
        <w:t>4.须在中国证券投资基金业协会完成登记备案</w:t>
      </w:r>
      <w:r>
        <w:rPr>
          <w:rFonts w:hint="eastAsia" w:ascii="仿宋_GB2312" w:hAnsi="仿宋_GB2312" w:eastAsia="仿宋_GB2312" w:cs="仿宋_GB2312"/>
          <w:b w:val="0"/>
          <w:bCs w:val="0"/>
          <w:spacing w:val="10"/>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rPr>
        <w:t>5.管理团队应当具备投资、财务、管理、风险控制等各方面人才，至少有3名具备五年以上从业经验的人员，且管理团队中具备基金从业资格的人数占总人数比例不低于90%</w:t>
      </w:r>
      <w:r>
        <w:rPr>
          <w:rFonts w:hint="eastAsia" w:ascii="仿宋_GB2312" w:hAnsi="仿宋_GB2312" w:eastAsia="仿宋_GB2312" w:cs="仿宋_GB2312"/>
          <w:b w:val="0"/>
          <w:bCs w:val="0"/>
          <w:spacing w:val="10"/>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rPr>
        <w:t>6.管理团队有5个（含）以上股权投资项目运作上市的成功案例，具备良好的管理业绩</w:t>
      </w:r>
      <w:r>
        <w:rPr>
          <w:rFonts w:hint="eastAsia" w:ascii="仿宋_GB2312" w:hAnsi="仿宋_GB2312" w:eastAsia="仿宋_GB2312" w:cs="仿宋_GB2312"/>
          <w:b w:val="0"/>
          <w:bCs w:val="0"/>
          <w:spacing w:val="10"/>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rPr>
        <w:t>7.</w:t>
      </w:r>
      <w:r>
        <w:rPr>
          <w:rFonts w:hint="eastAsia" w:ascii="仿宋_GB2312" w:hAnsi="仿宋_GB2312" w:eastAsia="仿宋_GB2312" w:cs="仿宋_GB2312"/>
          <w:b w:val="0"/>
          <w:bCs w:val="0"/>
          <w:spacing w:val="10"/>
          <w:sz w:val="32"/>
          <w:szCs w:val="32"/>
          <w:lang w:eastAsia="zh-CN"/>
        </w:rPr>
        <w:t>基金管理机构</w:t>
      </w:r>
      <w:r>
        <w:rPr>
          <w:rFonts w:hint="eastAsia" w:ascii="仿宋_GB2312" w:hAnsi="仿宋_GB2312" w:eastAsia="仿宋_GB2312" w:cs="仿宋_GB2312"/>
          <w:b w:val="0"/>
          <w:bCs w:val="0"/>
          <w:spacing w:val="10"/>
          <w:sz w:val="32"/>
          <w:szCs w:val="32"/>
        </w:rPr>
        <w:t>及其高级管理人员无行政主管机关或司法机关处罚的不良记录</w:t>
      </w:r>
      <w:r>
        <w:rPr>
          <w:rFonts w:hint="eastAsia" w:ascii="仿宋_GB2312" w:hAnsi="仿宋_GB2312" w:eastAsia="仿宋_GB2312" w:cs="仿宋_GB2312"/>
          <w:b w:val="0"/>
          <w:bCs w:val="0"/>
          <w:spacing w:val="10"/>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lang w:val="en-US" w:eastAsia="zh-CN"/>
        </w:rPr>
        <w:t>8</w:t>
      </w:r>
      <w:r>
        <w:rPr>
          <w:rFonts w:hint="eastAsia" w:ascii="仿宋_GB2312" w:hAnsi="仿宋_GB2312" w:eastAsia="仿宋_GB2312" w:cs="仿宋_GB2312"/>
          <w:b w:val="0"/>
          <w:bCs w:val="0"/>
          <w:spacing w:val="10"/>
          <w:sz w:val="32"/>
          <w:szCs w:val="32"/>
        </w:rPr>
        <w:t>.</w:t>
      </w:r>
      <w:r>
        <w:rPr>
          <w:rFonts w:hint="eastAsia" w:ascii="仿宋_GB2312" w:hAnsi="仿宋_GB2312" w:eastAsia="仿宋_GB2312" w:cs="仿宋_GB2312"/>
          <w:b w:val="0"/>
          <w:bCs w:val="0"/>
          <w:spacing w:val="10"/>
          <w:sz w:val="32"/>
          <w:szCs w:val="32"/>
          <w:lang w:eastAsia="zh-CN"/>
        </w:rPr>
        <w:t>基金管理机构</w:t>
      </w:r>
      <w:r>
        <w:rPr>
          <w:rFonts w:hint="eastAsia" w:ascii="仿宋_GB2312" w:hAnsi="仿宋_GB2312" w:eastAsia="仿宋_GB2312" w:cs="仿宋_GB2312"/>
          <w:b w:val="0"/>
          <w:bCs w:val="0"/>
          <w:spacing w:val="10"/>
          <w:sz w:val="32"/>
          <w:szCs w:val="32"/>
        </w:rPr>
        <w:t>应接受过政府引导基金的尽职调查且所管理基金至少获得过两只以上政府引导基金的出资</w:t>
      </w:r>
      <w:r>
        <w:rPr>
          <w:rFonts w:hint="eastAsia" w:ascii="仿宋_GB2312" w:hAnsi="仿宋_GB2312" w:eastAsia="仿宋_GB2312" w:cs="仿宋_GB2312"/>
          <w:b w:val="0"/>
          <w:bCs w:val="0"/>
          <w:spacing w:val="10"/>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val="en-US" w:eastAsia="zh-CN"/>
        </w:rPr>
      </w:pPr>
      <w:r>
        <w:rPr>
          <w:rFonts w:hint="eastAsia" w:ascii="仿宋_GB2312" w:hAnsi="仿宋_GB2312" w:eastAsia="仿宋_GB2312" w:cs="仿宋_GB2312"/>
          <w:b w:val="0"/>
          <w:bCs w:val="0"/>
          <w:spacing w:val="10"/>
          <w:sz w:val="32"/>
          <w:szCs w:val="32"/>
          <w:lang w:val="en-US" w:eastAsia="zh-CN"/>
        </w:rPr>
        <w:t>9.基金管理团队与</w:t>
      </w:r>
      <w:r>
        <w:rPr>
          <w:rFonts w:hint="eastAsia" w:ascii="仿宋_GB2312" w:hAnsi="仿宋_GB2312" w:eastAsia="仿宋_GB2312" w:cs="仿宋_GB2312"/>
          <w:b w:val="0"/>
          <w:bCs w:val="0"/>
          <w:spacing w:val="10"/>
          <w:sz w:val="32"/>
          <w:szCs w:val="32"/>
        </w:rPr>
        <w:t>鄂尔多斯市转型发展投资有限责任公司</w:t>
      </w:r>
      <w:r>
        <w:rPr>
          <w:rFonts w:hint="eastAsia" w:ascii="仿宋_GB2312" w:hAnsi="仿宋_GB2312" w:eastAsia="仿宋_GB2312" w:cs="仿宋_GB2312"/>
          <w:b w:val="0"/>
          <w:bCs w:val="0"/>
          <w:spacing w:val="10"/>
          <w:sz w:val="32"/>
          <w:szCs w:val="32"/>
          <w:lang w:val="en-US" w:eastAsia="zh-CN"/>
        </w:rPr>
        <w:t>成立新的机构作为基金普通合伙人参与基金运作。</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val="en-US" w:eastAsia="zh-CN"/>
        </w:rPr>
      </w:pPr>
      <w:r>
        <w:rPr>
          <w:rFonts w:hint="eastAsia" w:ascii="仿宋_GB2312" w:hAnsi="仿宋_GB2312" w:eastAsia="仿宋_GB2312" w:cs="仿宋_GB2312"/>
          <w:b w:val="0"/>
          <w:bCs w:val="0"/>
          <w:spacing w:val="10"/>
          <w:sz w:val="32"/>
          <w:szCs w:val="32"/>
          <w:lang w:val="en-US" w:eastAsia="zh-CN"/>
        </w:rPr>
        <w:t>10.基金管理机构和普通合伙人原则上对基金出资比例不低于基金总规模的1%。</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黑体" w:cs="宋体"/>
          <w:color w:val="000000"/>
          <w:kern w:val="0"/>
          <w:sz w:val="32"/>
          <w:szCs w:val="32"/>
        </w:rPr>
      </w:pPr>
      <w:r>
        <w:rPr>
          <w:rFonts w:hint="eastAsia" w:eastAsia="黑体" w:cs="宋体"/>
          <w:color w:val="000000"/>
          <w:kern w:val="0"/>
          <w:sz w:val="32"/>
          <w:szCs w:val="32"/>
          <w:lang w:val="en-US" w:eastAsia="zh-CN"/>
        </w:rPr>
        <w:t>三</w:t>
      </w:r>
      <w:r>
        <w:rPr>
          <w:rFonts w:hint="eastAsia" w:eastAsia="黑体" w:cs="宋体"/>
          <w:color w:val="000000"/>
          <w:kern w:val="0"/>
          <w:sz w:val="32"/>
          <w:szCs w:val="32"/>
        </w:rPr>
        <w:t>、</w:t>
      </w:r>
      <w:r>
        <w:rPr>
          <w:rFonts w:hint="eastAsia" w:eastAsia="黑体" w:cs="宋体"/>
          <w:color w:val="000000"/>
          <w:kern w:val="0"/>
          <w:sz w:val="32"/>
          <w:szCs w:val="32"/>
          <w:lang w:eastAsia="zh-CN"/>
        </w:rPr>
        <w:t>申请</w:t>
      </w:r>
      <w:r>
        <w:rPr>
          <w:rFonts w:hint="eastAsia" w:eastAsia="黑体" w:cs="宋体"/>
          <w:color w:val="000000"/>
          <w:kern w:val="0"/>
          <w:sz w:val="32"/>
          <w:szCs w:val="32"/>
          <w:lang w:val="en-US" w:eastAsia="zh-CN"/>
        </w:rPr>
        <w:t>时间、</w:t>
      </w:r>
      <w:r>
        <w:rPr>
          <w:rFonts w:hint="eastAsia" w:eastAsia="黑体" w:cs="宋体"/>
          <w:color w:val="000000"/>
          <w:kern w:val="0"/>
          <w:sz w:val="32"/>
          <w:szCs w:val="32"/>
        </w:rPr>
        <w:t>方式及</w:t>
      </w:r>
      <w:r>
        <w:rPr>
          <w:rFonts w:hint="eastAsia" w:eastAsia="黑体" w:cs="宋体"/>
          <w:color w:val="000000"/>
          <w:kern w:val="0"/>
          <w:sz w:val="32"/>
          <w:szCs w:val="32"/>
          <w:lang w:eastAsia="zh-CN"/>
        </w:rPr>
        <w:t>申请</w:t>
      </w:r>
      <w:r>
        <w:rPr>
          <w:rFonts w:hint="eastAsia" w:eastAsia="黑体" w:cs="宋体"/>
          <w:color w:val="000000"/>
          <w:kern w:val="0"/>
          <w:sz w:val="32"/>
          <w:szCs w:val="32"/>
        </w:rPr>
        <w:t>材料要求</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rPr>
      </w:pPr>
      <w:r>
        <w:rPr>
          <w:rFonts w:hint="eastAsia" w:ascii="仿宋_GB2312" w:hAnsi="仿宋_GB2312" w:eastAsia="仿宋_GB2312" w:cs="仿宋_GB2312"/>
          <w:b w:val="0"/>
          <w:bCs w:val="0"/>
          <w:spacing w:val="10"/>
          <w:sz w:val="32"/>
          <w:szCs w:val="32"/>
          <w:lang w:eastAsia="zh-CN"/>
        </w:rPr>
        <w:t>（一）</w:t>
      </w:r>
      <w:r>
        <w:rPr>
          <w:rFonts w:hint="eastAsia" w:ascii="仿宋_GB2312" w:hAnsi="仿宋_GB2312" w:eastAsia="仿宋_GB2312" w:cs="仿宋_GB2312"/>
          <w:b w:val="0"/>
          <w:bCs w:val="0"/>
          <w:spacing w:val="10"/>
          <w:sz w:val="32"/>
          <w:szCs w:val="32"/>
        </w:rPr>
        <w:t>申请机构</w:t>
      </w:r>
      <w:r>
        <w:rPr>
          <w:rFonts w:hint="eastAsia" w:ascii="仿宋_GB2312" w:hAnsi="仿宋_GB2312" w:eastAsia="仿宋_GB2312" w:cs="仿宋_GB2312"/>
          <w:b w:val="0"/>
          <w:bCs w:val="0"/>
          <w:spacing w:val="10"/>
          <w:sz w:val="32"/>
          <w:szCs w:val="32"/>
          <w:lang w:val="en-US" w:eastAsia="zh-CN"/>
        </w:rPr>
        <w:t>应于</w:t>
      </w:r>
      <w:r>
        <w:rPr>
          <w:rFonts w:hint="eastAsia" w:ascii="仿宋_GB2312" w:hAnsi="仿宋_GB2312" w:eastAsia="仿宋_GB2312" w:cs="仿宋_GB2312"/>
          <w:b w:val="0"/>
          <w:bCs w:val="0"/>
          <w:spacing w:val="10"/>
          <w:sz w:val="32"/>
          <w:szCs w:val="32"/>
        </w:rPr>
        <w:t>2019年</w:t>
      </w:r>
      <w:r>
        <w:rPr>
          <w:rFonts w:hint="eastAsia" w:ascii="仿宋_GB2312" w:hAnsi="仿宋_GB2312" w:eastAsia="仿宋_GB2312" w:cs="仿宋_GB2312"/>
          <w:b w:val="0"/>
          <w:bCs w:val="0"/>
          <w:spacing w:val="10"/>
          <w:sz w:val="32"/>
          <w:szCs w:val="32"/>
          <w:lang w:val="en-US" w:eastAsia="zh-CN"/>
        </w:rPr>
        <w:t>7</w:t>
      </w:r>
      <w:r>
        <w:rPr>
          <w:rFonts w:hint="eastAsia" w:ascii="仿宋_GB2312" w:hAnsi="仿宋_GB2312" w:eastAsia="仿宋_GB2312" w:cs="仿宋_GB2312"/>
          <w:b w:val="0"/>
          <w:bCs w:val="0"/>
          <w:spacing w:val="10"/>
          <w:sz w:val="32"/>
          <w:szCs w:val="32"/>
        </w:rPr>
        <w:t>月</w:t>
      </w:r>
      <w:r>
        <w:rPr>
          <w:rFonts w:hint="eastAsia" w:ascii="仿宋_GB2312" w:hAnsi="仿宋_GB2312" w:eastAsia="仿宋_GB2312" w:cs="仿宋_GB2312"/>
          <w:b w:val="0"/>
          <w:bCs w:val="0"/>
          <w:spacing w:val="10"/>
          <w:sz w:val="32"/>
          <w:szCs w:val="32"/>
          <w:lang w:val="en-US" w:eastAsia="zh-CN"/>
        </w:rPr>
        <w:t>29</w:t>
      </w:r>
      <w:r>
        <w:rPr>
          <w:rFonts w:hint="eastAsia" w:ascii="仿宋_GB2312" w:hAnsi="仿宋_GB2312" w:eastAsia="仿宋_GB2312" w:cs="仿宋_GB2312"/>
          <w:b w:val="0"/>
          <w:bCs w:val="0"/>
          <w:spacing w:val="10"/>
          <w:sz w:val="32"/>
          <w:szCs w:val="32"/>
        </w:rPr>
        <w:t>日</w:t>
      </w:r>
      <w:r>
        <w:rPr>
          <w:rFonts w:hint="eastAsia" w:ascii="仿宋_GB2312" w:hAnsi="仿宋_GB2312" w:eastAsia="仿宋_GB2312" w:cs="仿宋_GB2312"/>
          <w:b w:val="0"/>
          <w:bCs w:val="0"/>
          <w:spacing w:val="10"/>
          <w:sz w:val="32"/>
          <w:szCs w:val="32"/>
          <w:lang w:val="en-US" w:eastAsia="zh-CN"/>
        </w:rPr>
        <w:t>前向</w:t>
      </w:r>
      <w:r>
        <w:rPr>
          <w:rFonts w:hint="eastAsia" w:ascii="仿宋_GB2312" w:hAnsi="仿宋_GB2312" w:eastAsia="仿宋_GB2312" w:cs="仿宋_GB2312"/>
          <w:b w:val="0"/>
          <w:bCs w:val="0"/>
          <w:spacing w:val="10"/>
          <w:sz w:val="32"/>
          <w:szCs w:val="32"/>
        </w:rPr>
        <w:t>鄂尔多斯市转型发展投资有限责任公司</w:t>
      </w:r>
      <w:r>
        <w:rPr>
          <w:rFonts w:hint="eastAsia" w:ascii="仿宋_GB2312" w:hAnsi="仿宋_GB2312" w:eastAsia="仿宋_GB2312" w:cs="仿宋_GB2312"/>
          <w:b w:val="0"/>
          <w:bCs w:val="0"/>
          <w:spacing w:val="10"/>
          <w:sz w:val="32"/>
          <w:szCs w:val="32"/>
          <w:lang w:val="en-US" w:eastAsia="zh-CN"/>
        </w:rPr>
        <w:t>提交基金</w:t>
      </w:r>
      <w:r>
        <w:rPr>
          <w:rFonts w:hint="eastAsia" w:ascii="仿宋_GB2312" w:hAnsi="仿宋_GB2312" w:eastAsia="仿宋_GB2312" w:cs="仿宋_GB2312"/>
          <w:b w:val="0"/>
          <w:bCs w:val="0"/>
          <w:spacing w:val="10"/>
          <w:sz w:val="32"/>
          <w:szCs w:val="32"/>
        </w:rPr>
        <w:t>管理</w:t>
      </w:r>
      <w:r>
        <w:rPr>
          <w:rFonts w:hint="eastAsia" w:ascii="仿宋_GB2312" w:hAnsi="仿宋_GB2312" w:eastAsia="仿宋_GB2312" w:cs="仿宋_GB2312"/>
          <w:b w:val="0"/>
          <w:bCs w:val="0"/>
          <w:spacing w:val="10"/>
          <w:sz w:val="32"/>
          <w:szCs w:val="32"/>
          <w:lang w:val="en-US" w:eastAsia="zh-CN"/>
        </w:rPr>
        <w:t>机构</w:t>
      </w:r>
      <w:r>
        <w:rPr>
          <w:rFonts w:hint="eastAsia" w:ascii="仿宋_GB2312" w:hAnsi="仿宋_GB2312" w:eastAsia="仿宋_GB2312" w:cs="仿宋_GB2312"/>
          <w:b w:val="0"/>
          <w:bCs w:val="0"/>
          <w:spacing w:val="10"/>
          <w:sz w:val="32"/>
          <w:szCs w:val="32"/>
        </w:rPr>
        <w:t>申请</w:t>
      </w:r>
      <w:r>
        <w:rPr>
          <w:rFonts w:hint="eastAsia" w:ascii="仿宋_GB2312" w:hAnsi="仿宋_GB2312" w:eastAsia="仿宋_GB2312" w:cs="仿宋_GB2312"/>
          <w:b w:val="0"/>
          <w:bCs w:val="0"/>
          <w:spacing w:val="10"/>
          <w:sz w:val="32"/>
          <w:szCs w:val="32"/>
          <w:lang w:val="en-US" w:eastAsia="zh-CN"/>
        </w:rPr>
        <w:t>材料</w:t>
      </w:r>
      <w:r>
        <w:rPr>
          <w:rFonts w:hint="eastAsia" w:ascii="仿宋_GB2312" w:hAnsi="仿宋_GB2312" w:eastAsia="仿宋_GB2312" w:cs="仿宋_GB2312"/>
          <w:b w:val="0"/>
          <w:bCs w:val="0"/>
          <w:spacing w:val="10"/>
          <w:sz w:val="32"/>
          <w:szCs w:val="32"/>
          <w:lang w:eastAsia="zh-CN"/>
        </w:rPr>
        <w:t>，</w:t>
      </w:r>
      <w:r>
        <w:rPr>
          <w:rFonts w:hint="eastAsia" w:ascii="仿宋_GB2312" w:hAnsi="仿宋_GB2312" w:eastAsia="仿宋_GB2312" w:cs="仿宋_GB2312"/>
          <w:b w:val="0"/>
          <w:bCs w:val="0"/>
          <w:spacing w:val="10"/>
          <w:sz w:val="32"/>
          <w:szCs w:val="32"/>
        </w:rPr>
        <w:t>逾期不再受理。</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val="en-US" w:eastAsia="zh-CN"/>
        </w:rPr>
      </w:pPr>
      <w:r>
        <w:rPr>
          <w:rFonts w:hint="eastAsia" w:ascii="仿宋_GB2312" w:hAnsi="仿宋_GB2312" w:eastAsia="仿宋_GB2312" w:cs="仿宋_GB2312"/>
          <w:b w:val="0"/>
          <w:bCs w:val="0"/>
          <w:spacing w:val="10"/>
          <w:sz w:val="32"/>
          <w:szCs w:val="32"/>
          <w:lang w:eastAsia="zh-CN"/>
        </w:rPr>
        <w:t>（</w:t>
      </w:r>
      <w:r>
        <w:rPr>
          <w:rFonts w:hint="eastAsia" w:ascii="仿宋_GB2312" w:hAnsi="仿宋_GB2312" w:eastAsia="仿宋_GB2312" w:cs="仿宋_GB2312"/>
          <w:b w:val="0"/>
          <w:bCs w:val="0"/>
          <w:spacing w:val="10"/>
          <w:sz w:val="32"/>
          <w:szCs w:val="32"/>
          <w:lang w:val="en-US" w:eastAsia="zh-CN"/>
        </w:rPr>
        <w:t>二</w:t>
      </w:r>
      <w:r>
        <w:rPr>
          <w:rFonts w:hint="eastAsia" w:ascii="仿宋_GB2312" w:hAnsi="仿宋_GB2312" w:eastAsia="仿宋_GB2312" w:cs="仿宋_GB2312"/>
          <w:b w:val="0"/>
          <w:bCs w:val="0"/>
          <w:spacing w:val="10"/>
          <w:sz w:val="32"/>
          <w:szCs w:val="32"/>
          <w:lang w:eastAsia="zh-CN"/>
        </w:rPr>
        <w:t>）</w:t>
      </w:r>
      <w:r>
        <w:rPr>
          <w:rFonts w:hint="eastAsia" w:ascii="仿宋_GB2312" w:hAnsi="仿宋_GB2312" w:eastAsia="仿宋_GB2312" w:cs="仿宋_GB2312"/>
          <w:b w:val="0"/>
          <w:bCs w:val="0"/>
          <w:spacing w:val="10"/>
          <w:sz w:val="32"/>
          <w:szCs w:val="32"/>
        </w:rPr>
        <w:t>申请采用书面材料和电子材料相结合的方式报送，书面材料可通过现场递交或邮寄方式报送，并将电子版</w:t>
      </w:r>
      <w:r>
        <w:rPr>
          <w:rFonts w:hint="eastAsia" w:ascii="仿宋_GB2312" w:hAnsi="仿宋_GB2312" w:eastAsia="仿宋_GB2312" w:cs="仿宋_GB2312"/>
          <w:b w:val="0"/>
          <w:bCs w:val="0"/>
          <w:spacing w:val="10"/>
          <w:sz w:val="32"/>
          <w:szCs w:val="32"/>
          <w:lang w:eastAsia="zh-CN"/>
        </w:rPr>
        <w:t>刻录光盘，</w:t>
      </w:r>
      <w:r>
        <w:rPr>
          <w:rFonts w:hint="eastAsia" w:ascii="仿宋_GB2312" w:hAnsi="仿宋_GB2312" w:eastAsia="仿宋_GB2312" w:cs="仿宋_GB2312"/>
          <w:b w:val="0"/>
          <w:bCs w:val="0"/>
          <w:spacing w:val="10"/>
          <w:sz w:val="32"/>
          <w:szCs w:val="32"/>
        </w:rPr>
        <w:t>书面材料与电子材料须保持一致。书面申请材料用A4纸打印按顺序装订成册，一式</w:t>
      </w:r>
      <w:r>
        <w:rPr>
          <w:rFonts w:hint="eastAsia" w:ascii="仿宋_GB2312" w:hAnsi="仿宋_GB2312" w:eastAsia="仿宋_GB2312" w:cs="仿宋_GB2312"/>
          <w:b w:val="0"/>
          <w:bCs w:val="0"/>
          <w:spacing w:val="10"/>
          <w:sz w:val="32"/>
          <w:szCs w:val="32"/>
          <w:lang w:val="en-US" w:eastAsia="zh-CN"/>
        </w:rPr>
        <w:t>20</w:t>
      </w:r>
      <w:r>
        <w:rPr>
          <w:rFonts w:hint="eastAsia" w:ascii="仿宋_GB2312" w:hAnsi="仿宋_GB2312" w:eastAsia="仿宋_GB2312" w:cs="仿宋_GB2312"/>
          <w:b w:val="0"/>
          <w:bCs w:val="0"/>
          <w:spacing w:val="10"/>
          <w:sz w:val="32"/>
          <w:szCs w:val="32"/>
        </w:rPr>
        <w:t>份，封面加盖申请方公章，并加盖骑缝章。</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rPr>
      </w:pPr>
      <w:r>
        <w:rPr>
          <w:rFonts w:hint="eastAsia" w:ascii="仿宋_GB2312" w:hAnsi="仿宋_GB2312" w:eastAsia="仿宋_GB2312" w:cs="仿宋_GB2312"/>
          <w:b w:val="0"/>
          <w:bCs w:val="0"/>
          <w:spacing w:val="10"/>
          <w:sz w:val="32"/>
          <w:szCs w:val="32"/>
          <w:lang w:val="en-US" w:eastAsia="zh-CN"/>
        </w:rPr>
        <w:t>（三）</w:t>
      </w:r>
      <w:r>
        <w:rPr>
          <w:rFonts w:hint="eastAsia" w:ascii="仿宋_GB2312" w:hAnsi="仿宋_GB2312" w:eastAsia="仿宋_GB2312" w:cs="仿宋_GB2312"/>
          <w:b w:val="0"/>
          <w:bCs w:val="0"/>
          <w:spacing w:val="10"/>
          <w:sz w:val="32"/>
          <w:szCs w:val="32"/>
        </w:rPr>
        <w:t>符合申请条件</w:t>
      </w:r>
      <w:r>
        <w:rPr>
          <w:rFonts w:hint="eastAsia" w:ascii="仿宋_GB2312" w:hAnsi="仿宋_GB2312" w:eastAsia="仿宋_GB2312" w:cs="仿宋_GB2312"/>
          <w:b w:val="0"/>
          <w:bCs w:val="0"/>
          <w:spacing w:val="10"/>
          <w:sz w:val="32"/>
          <w:szCs w:val="32"/>
          <w:lang w:val="en-US" w:eastAsia="zh-CN"/>
        </w:rPr>
        <w:t>且</w:t>
      </w:r>
      <w:r>
        <w:rPr>
          <w:rFonts w:hint="eastAsia" w:ascii="仿宋_GB2312" w:hAnsi="仿宋_GB2312" w:eastAsia="仿宋_GB2312" w:cs="仿宋_GB2312"/>
          <w:b w:val="0"/>
          <w:bCs w:val="0"/>
          <w:spacing w:val="10"/>
          <w:sz w:val="32"/>
          <w:szCs w:val="32"/>
        </w:rPr>
        <w:t>有</w:t>
      </w:r>
      <w:r>
        <w:rPr>
          <w:rFonts w:hint="eastAsia" w:ascii="仿宋_GB2312" w:hAnsi="仿宋_GB2312" w:eastAsia="仿宋_GB2312" w:cs="仿宋_GB2312"/>
          <w:b w:val="0"/>
          <w:bCs w:val="0"/>
          <w:spacing w:val="10"/>
          <w:sz w:val="32"/>
          <w:szCs w:val="32"/>
          <w:lang w:val="en-US" w:eastAsia="zh-CN"/>
        </w:rPr>
        <w:t>申请</w:t>
      </w:r>
      <w:r>
        <w:rPr>
          <w:rFonts w:hint="eastAsia" w:ascii="仿宋_GB2312" w:hAnsi="仿宋_GB2312" w:eastAsia="仿宋_GB2312" w:cs="仿宋_GB2312"/>
          <w:b w:val="0"/>
          <w:bCs w:val="0"/>
          <w:spacing w:val="10"/>
          <w:sz w:val="32"/>
          <w:szCs w:val="32"/>
        </w:rPr>
        <w:t>意向的</w:t>
      </w:r>
      <w:r>
        <w:rPr>
          <w:rFonts w:hint="eastAsia" w:ascii="仿宋_GB2312" w:hAnsi="仿宋_GB2312" w:eastAsia="仿宋_GB2312" w:cs="仿宋_GB2312"/>
          <w:b w:val="0"/>
          <w:bCs w:val="0"/>
          <w:spacing w:val="10"/>
          <w:sz w:val="32"/>
          <w:szCs w:val="32"/>
          <w:lang w:val="en-US" w:eastAsia="zh-CN"/>
        </w:rPr>
        <w:t>基金管理机构</w:t>
      </w:r>
      <w:r>
        <w:rPr>
          <w:rFonts w:hint="eastAsia" w:ascii="仿宋_GB2312" w:hAnsi="仿宋_GB2312" w:eastAsia="仿宋_GB2312" w:cs="仿宋_GB2312"/>
          <w:b w:val="0"/>
          <w:bCs w:val="0"/>
          <w:spacing w:val="10"/>
          <w:sz w:val="32"/>
          <w:szCs w:val="32"/>
        </w:rPr>
        <w:t>应按照附件1—</w:t>
      </w:r>
      <w:r>
        <w:rPr>
          <w:rFonts w:hint="eastAsia" w:ascii="仿宋_GB2312" w:hAnsi="仿宋_GB2312" w:eastAsia="仿宋_GB2312" w:cs="仿宋_GB2312"/>
          <w:b w:val="0"/>
          <w:bCs w:val="0"/>
          <w:spacing w:val="10"/>
          <w:sz w:val="32"/>
          <w:szCs w:val="32"/>
          <w:lang w:val="en-US" w:eastAsia="zh-CN"/>
        </w:rPr>
        <w:t>6</w:t>
      </w:r>
      <w:r>
        <w:rPr>
          <w:rFonts w:hint="eastAsia" w:ascii="仿宋_GB2312" w:hAnsi="仿宋_GB2312" w:eastAsia="仿宋_GB2312" w:cs="仿宋_GB2312"/>
          <w:b w:val="0"/>
          <w:bCs w:val="0"/>
          <w:spacing w:val="10"/>
          <w:sz w:val="32"/>
          <w:szCs w:val="32"/>
        </w:rPr>
        <w:t>规定的顺序和内容向</w:t>
      </w:r>
      <w:r>
        <w:rPr>
          <w:rFonts w:hint="eastAsia" w:ascii="仿宋_GB2312" w:hAnsi="仿宋_GB2312" w:eastAsia="仿宋_GB2312" w:cs="仿宋_GB2312"/>
          <w:b w:val="0"/>
          <w:bCs w:val="0"/>
          <w:spacing w:val="10"/>
          <w:sz w:val="32"/>
          <w:szCs w:val="32"/>
          <w:lang w:val="en-US" w:eastAsia="zh-CN"/>
        </w:rPr>
        <w:t>鄂尔多斯市转型发展投资有限责任公司</w:t>
      </w:r>
      <w:r>
        <w:rPr>
          <w:rFonts w:hint="eastAsia" w:ascii="仿宋_GB2312" w:hAnsi="仿宋_GB2312" w:eastAsia="仿宋_GB2312" w:cs="仿宋_GB2312"/>
          <w:b w:val="0"/>
          <w:bCs w:val="0"/>
          <w:spacing w:val="10"/>
          <w:sz w:val="32"/>
          <w:szCs w:val="32"/>
          <w:lang w:eastAsia="zh-CN"/>
        </w:rPr>
        <w:t>提交申请材料，</w:t>
      </w:r>
      <w:r>
        <w:rPr>
          <w:rFonts w:hint="eastAsia" w:ascii="仿宋_GB2312" w:hAnsi="仿宋_GB2312" w:eastAsia="仿宋_GB2312" w:cs="仿宋_GB2312"/>
          <w:b w:val="0"/>
          <w:bCs w:val="0"/>
          <w:spacing w:val="10"/>
          <w:sz w:val="32"/>
          <w:szCs w:val="32"/>
          <w:lang w:val="en-US" w:eastAsia="zh-CN"/>
        </w:rPr>
        <w:t>鄂尔多斯市转型发展投资有限责任公司对于符合要求的基金管理机构将组织集中评审和尽职调查</w:t>
      </w:r>
      <w:r>
        <w:rPr>
          <w:rFonts w:hint="eastAsia" w:ascii="仿宋_GB2312" w:hAnsi="仿宋_GB2312" w:eastAsia="仿宋_GB2312" w:cs="仿宋_GB2312"/>
          <w:b w:val="0"/>
          <w:bCs w:val="0"/>
          <w:spacing w:val="1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eastAsia="黑体" w:cs="宋体"/>
          <w:color w:val="000000"/>
          <w:kern w:val="0"/>
          <w:sz w:val="32"/>
          <w:szCs w:val="32"/>
        </w:rPr>
      </w:pPr>
      <w:r>
        <w:rPr>
          <w:rFonts w:hint="eastAsia" w:eastAsia="黑体" w:cs="宋体"/>
          <w:color w:val="000000"/>
          <w:kern w:val="0"/>
          <w:sz w:val="32"/>
          <w:szCs w:val="32"/>
          <w:lang w:val="en-US" w:eastAsia="zh-CN"/>
        </w:rPr>
        <w:t>四</w:t>
      </w:r>
      <w:r>
        <w:rPr>
          <w:rFonts w:hint="eastAsia" w:eastAsia="黑体" w:cs="宋体"/>
          <w:color w:val="000000"/>
          <w:kern w:val="0"/>
          <w:sz w:val="32"/>
          <w:szCs w:val="32"/>
        </w:rPr>
        <w:t>、其他事宜</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lang w:eastAsia="zh-CN"/>
        </w:rPr>
        <w:t>（一）提交申请材料应真实详尽，申请方对申请材料的合法性、真实性、有效性、一致性负完全责任，对于以虚假材料</w:t>
      </w:r>
      <w:r>
        <w:rPr>
          <w:rFonts w:hint="eastAsia" w:ascii="仿宋_GB2312" w:hAnsi="仿宋_GB2312" w:eastAsia="仿宋_GB2312" w:cs="仿宋_GB2312"/>
          <w:b w:val="0"/>
          <w:bCs w:val="0"/>
          <w:spacing w:val="10"/>
          <w:sz w:val="32"/>
          <w:szCs w:val="32"/>
          <w:lang w:val="en-US" w:eastAsia="zh-CN"/>
        </w:rPr>
        <w:t>骗取鄂尔多斯市转型发展投资有限责任公司出资</w:t>
      </w:r>
      <w:r>
        <w:rPr>
          <w:rFonts w:hint="eastAsia" w:ascii="仿宋_GB2312" w:hAnsi="仿宋_GB2312" w:eastAsia="仿宋_GB2312" w:cs="仿宋_GB2312"/>
          <w:b w:val="0"/>
          <w:bCs w:val="0"/>
          <w:spacing w:val="10"/>
          <w:sz w:val="32"/>
          <w:szCs w:val="32"/>
          <w:lang w:eastAsia="zh-CN"/>
        </w:rPr>
        <w:t>的，将取消其申请资格，严重的将依法追究责任。</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lang w:eastAsia="zh-CN"/>
        </w:rPr>
        <w:t>（</w:t>
      </w:r>
      <w:r>
        <w:rPr>
          <w:rFonts w:hint="eastAsia" w:ascii="仿宋_GB2312" w:hAnsi="仿宋_GB2312" w:eastAsia="仿宋_GB2312" w:cs="仿宋_GB2312"/>
          <w:b w:val="0"/>
          <w:bCs w:val="0"/>
          <w:spacing w:val="10"/>
          <w:sz w:val="32"/>
          <w:szCs w:val="32"/>
          <w:lang w:val="en-US" w:eastAsia="zh-CN"/>
        </w:rPr>
        <w:t>二</w:t>
      </w:r>
      <w:r>
        <w:rPr>
          <w:rFonts w:hint="eastAsia" w:ascii="仿宋_GB2312" w:hAnsi="仿宋_GB2312" w:eastAsia="仿宋_GB2312" w:cs="仿宋_GB2312"/>
          <w:b w:val="0"/>
          <w:bCs w:val="0"/>
          <w:spacing w:val="10"/>
          <w:sz w:val="32"/>
          <w:szCs w:val="32"/>
          <w:lang w:eastAsia="zh-CN"/>
        </w:rPr>
        <w:t>）鄂尔多斯市转型发展投资有限责任公司对本申请指南相关事项拥有最终解释权。</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80" w:firstLineChars="200"/>
        <w:jc w:val="both"/>
        <w:textAlignment w:val="auto"/>
        <w:outlineLvl w:val="0"/>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lang w:eastAsia="zh-CN"/>
        </w:rPr>
        <w:t>（</w:t>
      </w:r>
      <w:r>
        <w:rPr>
          <w:rFonts w:hint="eastAsia" w:ascii="仿宋_GB2312" w:hAnsi="仿宋_GB2312" w:eastAsia="仿宋_GB2312" w:cs="仿宋_GB2312"/>
          <w:b w:val="0"/>
          <w:bCs w:val="0"/>
          <w:spacing w:val="10"/>
          <w:sz w:val="32"/>
          <w:szCs w:val="32"/>
          <w:lang w:val="en-US" w:eastAsia="zh-CN"/>
        </w:rPr>
        <w:t>三</w:t>
      </w:r>
      <w:r>
        <w:rPr>
          <w:rFonts w:hint="eastAsia" w:ascii="仿宋_GB2312" w:hAnsi="仿宋_GB2312" w:eastAsia="仿宋_GB2312" w:cs="仿宋_GB2312"/>
          <w:b w:val="0"/>
          <w:bCs w:val="0"/>
          <w:spacing w:val="10"/>
          <w:sz w:val="32"/>
          <w:szCs w:val="32"/>
          <w:lang w:eastAsia="zh-CN"/>
        </w:rPr>
        <w:t>）申请材料提交地址：内蒙古自治区鄂尔多斯市康巴什区金财大厦</w:t>
      </w:r>
      <w:r>
        <w:rPr>
          <w:rFonts w:hint="eastAsia" w:ascii="仿宋_GB2312" w:hAnsi="仿宋_GB2312" w:eastAsia="仿宋_GB2312" w:cs="仿宋_GB2312"/>
          <w:b w:val="0"/>
          <w:bCs w:val="0"/>
          <w:spacing w:val="10"/>
          <w:sz w:val="32"/>
          <w:szCs w:val="32"/>
          <w:lang w:val="en-US" w:eastAsia="zh-CN"/>
        </w:rPr>
        <w:t>304</w:t>
      </w:r>
      <w:r>
        <w:rPr>
          <w:rFonts w:hint="eastAsia" w:ascii="仿宋_GB2312" w:hAnsi="仿宋_GB2312" w:eastAsia="仿宋_GB2312" w:cs="仿宋_GB2312"/>
          <w:b w:val="0"/>
          <w:bCs w:val="0"/>
          <w:spacing w:val="10"/>
          <w:sz w:val="32"/>
          <w:szCs w:val="32"/>
          <w:lang w:eastAsia="zh-CN"/>
        </w:rPr>
        <w:t>室。</w:t>
      </w:r>
    </w:p>
    <w:p>
      <w:pPr>
        <w:keepNext w:val="0"/>
        <w:keepLines w:val="0"/>
        <w:pageBreakBefore w:val="0"/>
        <w:widowControl w:val="0"/>
        <w:kinsoku/>
        <w:wordWrap/>
        <w:overflowPunct/>
        <w:topLinePunct w:val="0"/>
        <w:autoSpaceDE/>
        <w:autoSpaceDN/>
        <w:bidi w:val="0"/>
        <w:adjustRightInd/>
        <w:snapToGrid/>
        <w:spacing w:line="560" w:lineRule="exact"/>
        <w:ind w:left="960" w:right="0" w:rightChars="0" w:hanging="960" w:hangingChars="300"/>
        <w:jc w:val="left"/>
        <w:textAlignment w:val="auto"/>
        <w:outlineLvl w:val="9"/>
        <w:rPr>
          <w:rFonts w:eastAsia="仿宋_GB2312" w:cs="宋体"/>
          <w:color w:val="000000"/>
          <w:kern w:val="0"/>
          <w:sz w:val="32"/>
          <w:szCs w:val="32"/>
        </w:rPr>
      </w:pPr>
      <w:r>
        <w:rPr>
          <w:rFonts w:hint="eastAsia" w:eastAsia="仿宋_GB2312" w:cs="宋体"/>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textAlignment w:val="auto"/>
        <w:outlineLvl w:val="9"/>
        <w:rPr>
          <w:rFonts w:eastAsia="仿宋_GB2312" w:cs="宋体"/>
          <w:color w:val="000000"/>
          <w:kern w:val="0"/>
          <w:sz w:val="32"/>
          <w:szCs w:val="32"/>
        </w:rPr>
      </w:pPr>
      <w:r>
        <w:rPr>
          <w:rFonts w:hint="eastAsia" w:eastAsia="仿宋_GB2312" w:cs="宋体"/>
          <w:color w:val="000000"/>
          <w:kern w:val="0"/>
          <w:sz w:val="32"/>
          <w:szCs w:val="32"/>
        </w:rPr>
        <w:t>附件：1</w:t>
      </w:r>
      <w:r>
        <w:rPr>
          <w:rFonts w:eastAsia="仿宋_GB2312" w:cs="宋体"/>
          <w:color w:val="000000"/>
          <w:kern w:val="0"/>
          <w:sz w:val="32"/>
          <w:szCs w:val="32"/>
        </w:rPr>
        <w:t>.</w:t>
      </w:r>
      <w:r>
        <w:rPr>
          <w:rFonts w:hint="eastAsia" w:eastAsia="仿宋_GB2312" w:cs="宋体"/>
          <w:color w:val="000000"/>
          <w:kern w:val="0"/>
          <w:sz w:val="32"/>
          <w:szCs w:val="32"/>
          <w:lang w:val="en-US" w:eastAsia="zh-CN"/>
        </w:rPr>
        <w:t xml:space="preserve"> </w:t>
      </w:r>
      <w:r>
        <w:rPr>
          <w:rFonts w:hint="eastAsia" w:eastAsia="仿宋_GB2312" w:cs="宋体"/>
          <w:color w:val="000000"/>
          <w:spacing w:val="-4"/>
          <w:kern w:val="0"/>
          <w:sz w:val="32"/>
          <w:szCs w:val="32"/>
          <w:lang w:val="en-US" w:eastAsia="zh-CN"/>
        </w:rPr>
        <w:t>绿色鄂尔多斯发展基金</w:t>
      </w:r>
      <w:r>
        <w:rPr>
          <w:rFonts w:hint="eastAsia" w:eastAsia="仿宋_GB2312" w:cs="宋体"/>
          <w:color w:val="000000"/>
          <w:spacing w:val="-4"/>
          <w:kern w:val="0"/>
          <w:sz w:val="32"/>
          <w:szCs w:val="32"/>
        </w:rPr>
        <w:t>申请</w:t>
      </w:r>
      <w:r>
        <w:rPr>
          <w:rFonts w:hint="eastAsia" w:eastAsia="仿宋_GB2312" w:cs="宋体"/>
          <w:color w:val="000000"/>
          <w:kern w:val="0"/>
          <w:sz w:val="32"/>
          <w:szCs w:val="32"/>
        </w:rPr>
        <w:t>材料目录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885" w:leftChars="749" w:right="0" w:rightChars="0" w:hanging="312" w:hangingChars="100"/>
        <w:textAlignment w:val="auto"/>
        <w:outlineLvl w:val="9"/>
        <w:rPr>
          <w:rFonts w:eastAsia="仿宋_GB2312" w:cs="宋体"/>
          <w:color w:val="000000"/>
          <w:spacing w:val="-6"/>
          <w:kern w:val="0"/>
          <w:sz w:val="32"/>
          <w:szCs w:val="32"/>
        </w:rPr>
      </w:pPr>
      <w:r>
        <w:rPr>
          <w:rFonts w:hint="eastAsia" w:eastAsia="仿宋_GB2312" w:cs="宋体"/>
          <w:color w:val="000000"/>
          <w:spacing w:val="-4"/>
          <w:kern w:val="0"/>
          <w:sz w:val="32"/>
          <w:szCs w:val="32"/>
          <w:lang w:val="en-US" w:eastAsia="zh-CN"/>
        </w:rPr>
        <w:t>绿色鄂尔多斯发展基金</w:t>
      </w:r>
      <w:r>
        <w:rPr>
          <w:rFonts w:hint="eastAsia" w:eastAsia="仿宋_GB2312" w:cs="宋体"/>
          <w:color w:val="000000"/>
          <w:spacing w:val="-8"/>
          <w:kern w:val="0"/>
          <w:sz w:val="32"/>
          <w:szCs w:val="32"/>
        </w:rPr>
        <w:t>申请材料封面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885" w:leftChars="749" w:right="0" w:rightChars="0" w:hanging="312" w:hangingChars="100"/>
        <w:textAlignment w:val="auto"/>
        <w:outlineLvl w:val="9"/>
        <w:rPr>
          <w:rFonts w:eastAsia="仿宋_GB2312" w:cs="宋体"/>
          <w:color w:val="000000"/>
          <w:kern w:val="0"/>
          <w:sz w:val="32"/>
          <w:szCs w:val="32"/>
        </w:rPr>
      </w:pPr>
      <w:r>
        <w:rPr>
          <w:rFonts w:hint="eastAsia" w:eastAsia="仿宋_GB2312" w:cs="宋体"/>
          <w:color w:val="000000"/>
          <w:spacing w:val="-4"/>
          <w:kern w:val="0"/>
          <w:sz w:val="32"/>
          <w:szCs w:val="32"/>
          <w:lang w:val="en-US" w:eastAsia="zh-CN"/>
        </w:rPr>
        <w:t>绿色鄂尔多斯发展基金</w:t>
      </w:r>
      <w:r>
        <w:rPr>
          <w:rFonts w:hint="eastAsia" w:eastAsia="仿宋_GB2312" w:cs="宋体"/>
          <w:color w:val="000000"/>
          <w:kern w:val="0"/>
          <w:sz w:val="32"/>
          <w:szCs w:val="32"/>
        </w:rPr>
        <w:t>申请机构登记表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885" w:leftChars="749" w:right="0" w:rightChars="0" w:hanging="312" w:hangingChars="100"/>
        <w:textAlignment w:val="auto"/>
        <w:outlineLvl w:val="9"/>
        <w:rPr>
          <w:rFonts w:eastAsia="仿宋_GB2312" w:cs="宋体"/>
          <w:color w:val="000000"/>
          <w:kern w:val="0"/>
          <w:sz w:val="32"/>
          <w:szCs w:val="32"/>
        </w:rPr>
      </w:pPr>
      <w:r>
        <w:rPr>
          <w:rFonts w:hint="eastAsia" w:eastAsia="仿宋_GB2312" w:cs="宋体"/>
          <w:color w:val="000000"/>
          <w:spacing w:val="-4"/>
          <w:kern w:val="0"/>
          <w:sz w:val="32"/>
          <w:szCs w:val="32"/>
          <w:lang w:val="en-US" w:eastAsia="zh-CN"/>
        </w:rPr>
        <w:t>绿色鄂尔多斯发展基金</w:t>
      </w:r>
      <w:r>
        <w:rPr>
          <w:rFonts w:hint="eastAsia" w:eastAsia="仿宋_GB2312" w:cs="宋体"/>
          <w:color w:val="000000"/>
          <w:kern w:val="0"/>
          <w:sz w:val="32"/>
          <w:szCs w:val="32"/>
        </w:rPr>
        <w:t>方案编写提纲</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885" w:leftChars="749" w:right="0" w:rightChars="0" w:hanging="312" w:hangingChars="100"/>
        <w:textAlignment w:val="auto"/>
        <w:outlineLvl w:val="9"/>
        <w:rPr>
          <w:rFonts w:eastAsia="仿宋_GB2312" w:cs="宋体"/>
          <w:color w:val="000000"/>
          <w:kern w:val="0"/>
          <w:sz w:val="32"/>
          <w:szCs w:val="32"/>
        </w:rPr>
      </w:pPr>
      <w:r>
        <w:rPr>
          <w:rFonts w:hint="eastAsia" w:eastAsia="仿宋_GB2312" w:cs="宋体"/>
          <w:color w:val="000000"/>
          <w:spacing w:val="-4"/>
          <w:kern w:val="0"/>
          <w:sz w:val="32"/>
          <w:szCs w:val="32"/>
          <w:lang w:val="en-US" w:eastAsia="zh-CN"/>
        </w:rPr>
        <w:t>绿色鄂尔多斯发展基金</w:t>
      </w:r>
      <w:r>
        <w:rPr>
          <w:rFonts w:hint="eastAsia" w:eastAsia="仿宋_GB2312" w:cs="宋体"/>
          <w:color w:val="000000"/>
          <w:kern w:val="0"/>
          <w:sz w:val="32"/>
          <w:szCs w:val="32"/>
        </w:rPr>
        <w:t xml:space="preserve">申请材料清单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885" w:leftChars="749" w:right="0" w:rightChars="0" w:hanging="312" w:hangingChars="100"/>
        <w:textAlignment w:val="auto"/>
        <w:outlineLvl w:val="9"/>
        <w:rPr>
          <w:rFonts w:eastAsia="仿宋_GB2312" w:cs="宋体"/>
          <w:color w:val="000000"/>
          <w:kern w:val="0"/>
          <w:sz w:val="32"/>
          <w:szCs w:val="32"/>
        </w:rPr>
      </w:pPr>
      <w:r>
        <w:rPr>
          <w:rFonts w:hint="eastAsia" w:eastAsia="仿宋_GB2312" w:cs="宋体"/>
          <w:color w:val="000000"/>
          <w:spacing w:val="-4"/>
          <w:kern w:val="0"/>
          <w:sz w:val="32"/>
          <w:szCs w:val="32"/>
          <w:lang w:val="en-US" w:eastAsia="zh-CN"/>
        </w:rPr>
        <w:t>绿色鄂尔多斯发展基金</w:t>
      </w:r>
      <w:r>
        <w:rPr>
          <w:rFonts w:hint="eastAsia" w:eastAsia="仿宋_GB2312" w:cs="宋体"/>
          <w:color w:val="000000"/>
          <w:kern w:val="0"/>
          <w:sz w:val="32"/>
          <w:szCs w:val="32"/>
        </w:rPr>
        <w:t>申请者承诺函</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themeColor="text1"/>
          <w:spacing w:val="1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80" w:firstLineChars="200"/>
        <w:jc w:val="both"/>
        <w:textAlignment w:val="auto"/>
        <w:rPr>
          <w:rFonts w:hint="eastAsia" w:ascii="仿宋_GB2312" w:hAnsi="仿宋_GB2312" w:eastAsia="仿宋_GB2312" w:cs="仿宋_GB2312"/>
          <w:color w:val="000000" w:themeColor="text1"/>
          <w:spacing w:val="1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80" w:firstLineChars="200"/>
        <w:jc w:val="right"/>
        <w:textAlignment w:val="auto"/>
        <w:rPr>
          <w:rFonts w:hint="eastAsia" w:ascii="仿宋_GB2312" w:hAnsi="仿宋_GB2312" w:eastAsia="仿宋_GB2312" w:cs="仿宋_GB2312"/>
          <w:color w:val="000000" w:themeColor="text1"/>
          <w:spacing w:val="10"/>
          <w:sz w:val="32"/>
          <w:szCs w:val="32"/>
          <w14:textFill>
            <w14:solidFill>
              <w14:schemeClr w14:val="tx1"/>
            </w14:solidFill>
          </w14:textFill>
        </w:rPr>
      </w:pPr>
      <w:r>
        <w:rPr>
          <w:rFonts w:hint="eastAsia" w:ascii="仿宋_GB2312" w:hAnsi="仿宋_GB2312" w:eastAsia="仿宋_GB2312" w:cs="仿宋_GB2312"/>
          <w:color w:val="000000" w:themeColor="text1"/>
          <w:spacing w:val="10"/>
          <w:sz w:val="32"/>
          <w:szCs w:val="32"/>
          <w14:textFill>
            <w14:solidFill>
              <w14:schemeClr w14:val="tx1"/>
            </w14:solidFill>
          </w14:textFill>
        </w:rPr>
        <w:t>鄂尔多斯市转型发展投资有限责任公司</w:t>
      </w:r>
    </w:p>
    <w:p>
      <w:pPr>
        <w:keepNext w:val="0"/>
        <w:keepLines w:val="0"/>
        <w:pageBreakBefore w:val="0"/>
        <w:widowControl w:val="0"/>
        <w:kinsoku/>
        <w:wordWrap/>
        <w:overflowPunct/>
        <w:topLinePunct w:val="0"/>
        <w:autoSpaceDE/>
        <w:autoSpaceDN/>
        <w:bidi w:val="0"/>
        <w:adjustRightInd/>
        <w:snapToGrid w:val="0"/>
        <w:spacing w:line="560" w:lineRule="exact"/>
        <w:ind w:firstLine="680" w:firstLineChars="200"/>
        <w:jc w:val="center"/>
        <w:textAlignment w:val="auto"/>
        <w:rPr>
          <w:rFonts w:hint="eastAsia" w:ascii="仿宋_GB2312" w:hAnsi="仿宋_GB2312" w:eastAsia="仿宋_GB2312" w:cs="仿宋_GB2312"/>
          <w:color w:val="000000" w:themeColor="text1"/>
          <w:spacing w:val="1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10"/>
          <w:sz w:val="32"/>
          <w:szCs w:val="32"/>
          <w14:textFill>
            <w14:solidFill>
              <w14:schemeClr w14:val="tx1"/>
            </w14:solidFill>
          </w14:textFill>
        </w:rPr>
        <w:t>2019年</w:t>
      </w:r>
      <w:r>
        <w:rPr>
          <w:rFonts w:hint="eastAsia" w:ascii="仿宋_GB2312" w:hAnsi="仿宋_GB2312" w:eastAsia="仿宋_GB2312" w:cs="仿宋_GB2312"/>
          <w:color w:val="000000" w:themeColor="text1"/>
          <w:spacing w:val="1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10"/>
          <w:sz w:val="32"/>
          <w:szCs w:val="32"/>
          <w14:textFill>
            <w14:solidFill>
              <w14:schemeClr w14:val="tx1"/>
            </w14:solidFill>
          </w14:textFill>
        </w:rPr>
        <w:t>月</w:t>
      </w:r>
      <w:r>
        <w:rPr>
          <w:rFonts w:hint="eastAsia" w:ascii="仿宋_GB2312" w:hAnsi="仿宋_GB2312" w:eastAsia="仿宋_GB2312" w:cs="仿宋_GB2312"/>
          <w:color w:val="000000" w:themeColor="text1"/>
          <w:spacing w:val="10"/>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pacing w:val="10"/>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rPr>
          <w:rFonts w:hint="eastAsia"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br w:type="page"/>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jc w:val="center"/>
        <w:rPr>
          <w:rFonts w:hint="eastAsia" w:eastAsia="方正小标宋简体" w:cs="宋体"/>
          <w:bCs/>
          <w:sz w:val="44"/>
          <w:szCs w:val="44"/>
          <w:lang w:val="en-US" w:eastAsia="zh-CN"/>
        </w:rPr>
      </w:pPr>
      <w:r>
        <w:rPr>
          <w:rFonts w:hint="eastAsia" w:eastAsia="方正小标宋简体" w:cs="宋体"/>
          <w:bCs/>
          <w:sz w:val="44"/>
          <w:szCs w:val="44"/>
          <w:lang w:val="en-US" w:eastAsia="zh-CN"/>
        </w:rPr>
        <w:t>绿色鄂尔多斯发展基金</w:t>
      </w:r>
    </w:p>
    <w:p>
      <w:pPr>
        <w:spacing w:line="560" w:lineRule="exact"/>
        <w:jc w:val="center"/>
        <w:rPr>
          <w:b/>
          <w:bCs/>
          <w:sz w:val="32"/>
          <w:szCs w:val="32"/>
        </w:rPr>
      </w:pPr>
      <w:r>
        <w:rPr>
          <w:rFonts w:hint="eastAsia" w:eastAsia="方正小标宋简体" w:cs="宋体"/>
          <w:bCs/>
          <w:sz w:val="44"/>
          <w:szCs w:val="44"/>
        </w:rPr>
        <w:t>申请材料目录</w:t>
      </w:r>
    </w:p>
    <w:p>
      <w:pPr>
        <w:spacing w:line="560" w:lineRule="exact"/>
        <w:jc w:val="center"/>
        <w:rPr>
          <w:b/>
          <w:bCs/>
          <w:sz w:val="32"/>
          <w:szCs w:val="32"/>
        </w:rPr>
      </w:pPr>
    </w:p>
    <w:p>
      <w:pPr>
        <w:pStyle w:val="8"/>
        <w:tabs>
          <w:tab w:val="right" w:leader="dot" w:pos="9004"/>
        </w:tabs>
        <w:spacing w:line="360" w:lineRule="auto"/>
        <w:ind w:left="640" w:hanging="640" w:hangingChars="200"/>
        <w:rPr>
          <w:rFonts w:hint="eastAsia" w:ascii="仿宋_GB2312" w:hAnsi="仿宋_GB2312" w:eastAsia="仿宋_GB2312" w:cs="仿宋_GB2312"/>
          <w:sz w:val="32"/>
          <w:szCs w:val="32"/>
        </w:rPr>
      </w:pPr>
      <w:r>
        <w:rPr>
          <w:rFonts w:eastAsia="仿宋_GB2312" w:cs="仿宋_GB2312"/>
          <w:sz w:val="32"/>
          <w:szCs w:val="32"/>
        </w:rPr>
        <w:fldChar w:fldCharType="begin"/>
      </w:r>
      <w:r>
        <w:rPr>
          <w:rFonts w:eastAsia="仿宋_GB2312" w:cs="仿宋_GB2312"/>
          <w:sz w:val="32"/>
          <w:szCs w:val="32"/>
        </w:rPr>
        <w:instrText xml:space="preserve"> </w:instrText>
      </w:r>
      <w:r>
        <w:rPr>
          <w:rFonts w:hint="eastAsia" w:eastAsia="仿宋_GB2312" w:cs="仿宋_GB2312"/>
          <w:sz w:val="32"/>
          <w:szCs w:val="32"/>
        </w:rPr>
        <w:instrText xml:space="preserve">TOC \o "1-3" \h \z \u</w:instrText>
      </w:r>
      <w:r>
        <w:rPr>
          <w:rFonts w:eastAsia="仿宋_GB2312" w:cs="仿宋_GB2312"/>
          <w:sz w:val="32"/>
          <w:szCs w:val="32"/>
        </w:rPr>
        <w:instrText xml:space="preserve"> </w:instrText>
      </w:r>
      <w:r>
        <w:rPr>
          <w:rFonts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"_Toc474316820" </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一、</w:t>
      </w:r>
      <w:r>
        <w:rPr>
          <w:rStyle w:val="17"/>
          <w:rFonts w:hint="eastAsia" w:ascii="仿宋_GB2312" w:hAnsi="仿宋_GB2312" w:eastAsia="仿宋_GB2312" w:cs="仿宋_GB2312"/>
          <w:sz w:val="32"/>
          <w:szCs w:val="32"/>
          <w:lang w:val="en-US" w:eastAsia="zh-CN"/>
        </w:rPr>
        <w:t>绿色鄂尔多斯发展基金</w:t>
      </w:r>
      <w:r>
        <w:rPr>
          <w:rStyle w:val="17"/>
          <w:rFonts w:hint="eastAsia" w:ascii="仿宋_GB2312" w:hAnsi="仿宋_GB2312" w:eastAsia="仿宋_GB2312" w:cs="仿宋_GB2312"/>
          <w:sz w:val="32"/>
          <w:szCs w:val="32"/>
        </w:rPr>
        <w:t>申请材料封面（附件2）</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rPr>
        <w:fldChar w:fldCharType="end"/>
      </w:r>
    </w:p>
    <w:p>
      <w:pPr>
        <w:pStyle w:val="8"/>
        <w:tabs>
          <w:tab w:val="right" w:leader="dot" w:pos="9004"/>
        </w:tabs>
        <w:spacing w:line="360" w:lineRule="auto"/>
        <w:ind w:left="420" w:hanging="640"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"_Toc474316821" </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二、</w:t>
      </w:r>
      <w:r>
        <w:rPr>
          <w:rStyle w:val="17"/>
          <w:rFonts w:hint="eastAsia" w:ascii="仿宋_GB2312" w:hAnsi="仿宋_GB2312" w:eastAsia="仿宋_GB2312" w:cs="仿宋_GB2312"/>
          <w:sz w:val="32"/>
          <w:szCs w:val="32"/>
          <w:lang w:val="en-US" w:eastAsia="zh-CN"/>
        </w:rPr>
        <w:t>绿色鄂尔多斯发展基金</w:t>
      </w:r>
      <w:r>
        <w:rPr>
          <w:rStyle w:val="17"/>
          <w:rFonts w:hint="eastAsia" w:ascii="仿宋_GB2312" w:hAnsi="仿宋_GB2312" w:eastAsia="仿宋_GB2312" w:cs="仿宋_GB2312"/>
          <w:sz w:val="32"/>
          <w:szCs w:val="32"/>
        </w:rPr>
        <w:t>申请机构登记表（附件3）</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fldChar w:fldCharType="end"/>
      </w:r>
    </w:p>
    <w:p>
      <w:pPr>
        <w:pStyle w:val="8"/>
        <w:tabs>
          <w:tab w:val="right" w:leader="dot" w:pos="9004"/>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"_Toc474316822" </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三、</w:t>
      </w:r>
      <w:r>
        <w:rPr>
          <w:rStyle w:val="17"/>
          <w:rFonts w:hint="eastAsia" w:ascii="仿宋_GB2312" w:hAnsi="仿宋_GB2312" w:eastAsia="仿宋_GB2312" w:cs="仿宋_GB2312"/>
          <w:sz w:val="32"/>
          <w:szCs w:val="32"/>
          <w:lang w:val="en-US" w:eastAsia="zh-CN"/>
        </w:rPr>
        <w:t>绿色鄂尔多斯发展基金</w:t>
      </w:r>
      <w:r>
        <w:rPr>
          <w:rStyle w:val="17"/>
          <w:rFonts w:hint="eastAsia" w:ascii="仿宋_GB2312" w:hAnsi="仿宋_GB2312" w:eastAsia="仿宋_GB2312" w:cs="仿宋_GB2312"/>
          <w:sz w:val="32"/>
          <w:szCs w:val="32"/>
        </w:rPr>
        <w:t>方案编写提纲（附件4）</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fldChar w:fldCharType="end"/>
      </w:r>
    </w:p>
    <w:p>
      <w:pPr>
        <w:pStyle w:val="8"/>
        <w:tabs>
          <w:tab w:val="right" w:leader="dot" w:pos="9004"/>
        </w:tabs>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"_Toc474316823" </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四、申请材料清单（附件5）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fldChar w:fldCharType="end"/>
      </w:r>
    </w:p>
    <w:p>
      <w:pPr>
        <w:pStyle w:val="9"/>
        <w:tabs>
          <w:tab w:val="right" w:leader="dot" w:pos="9004"/>
        </w:tabs>
        <w:spacing w:line="360" w:lineRule="auto"/>
        <w:rPr>
          <w:rFonts w:hint="eastAsia" w:ascii="仿宋_GB2312" w:hAnsi="仿宋_GB2312" w:eastAsia="仿宋_GB2312" w:cs="仿宋_GB2312"/>
          <w:sz w:val="32"/>
          <w:szCs w:val="32"/>
          <w:lang w:val="en-US" w:eastAsia="zh-CN"/>
        </w:rPr>
      </w:pPr>
      <w:r>
        <w:rPr>
          <w:rStyle w:val="17"/>
          <w:rFonts w:hint="eastAsia" w:ascii="仿宋_GB2312" w:hAnsi="仿宋_GB2312" w:eastAsia="仿宋_GB2312" w:cs="仿宋_GB2312"/>
          <w:color w:val="auto"/>
          <w:sz w:val="32"/>
          <w:szCs w:val="32"/>
          <w:u w:val="none"/>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"_Toc474316824" </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color w:val="auto"/>
          <w:sz w:val="32"/>
          <w:szCs w:val="32"/>
          <w:u w:val="none"/>
        </w:rPr>
        <w:t>一）</w:t>
      </w:r>
      <w:r>
        <w:rPr>
          <w:rStyle w:val="17"/>
          <w:rFonts w:hint="eastAsia" w:ascii="仿宋_GB2312" w:hAnsi="仿宋_GB2312" w:eastAsia="仿宋_GB2312" w:cs="仿宋_GB2312"/>
          <w:bCs/>
          <w:color w:val="auto"/>
          <w:sz w:val="32"/>
          <w:szCs w:val="32"/>
          <w:u w:val="none"/>
          <w:lang w:eastAsia="zh-CN"/>
        </w:rPr>
        <w:t>基金管理机构</w:t>
      </w:r>
      <w:r>
        <w:rPr>
          <w:rStyle w:val="17"/>
          <w:rFonts w:hint="eastAsia" w:ascii="仿宋_GB2312" w:hAnsi="仿宋_GB2312" w:eastAsia="仿宋_GB2312" w:cs="仿宋_GB2312"/>
          <w:bCs/>
          <w:color w:val="auto"/>
          <w:sz w:val="32"/>
          <w:szCs w:val="32"/>
          <w:u w:val="none"/>
        </w:rPr>
        <w:t>需提供材料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2</w:t>
      </w:r>
    </w:p>
    <w:p>
      <w:pPr>
        <w:pStyle w:val="9"/>
        <w:tabs>
          <w:tab w:val="right" w:leader="dot" w:pos="9004"/>
        </w:tabs>
        <w:spacing w:line="360" w:lineRule="auto"/>
        <w:rPr>
          <w:rFonts w:hint="eastAsia" w:ascii="仿宋_GB2312" w:hAnsi="仿宋_GB2312" w:eastAsia="仿宋_GB2312" w:cs="仿宋_GB2312"/>
          <w:sz w:val="32"/>
          <w:szCs w:val="32"/>
          <w:lang w:val="en-US" w:eastAsia="zh-CN"/>
        </w:rPr>
      </w:pPr>
      <w:r>
        <w:rPr>
          <w:rStyle w:val="17"/>
          <w:rFonts w:hint="eastAsia" w:ascii="仿宋_GB2312" w:hAnsi="仿宋_GB2312" w:eastAsia="仿宋_GB2312" w:cs="仿宋_GB2312"/>
          <w:color w:val="auto"/>
          <w:sz w:val="32"/>
          <w:szCs w:val="32"/>
          <w:u w:val="none"/>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"_Toc474316825" </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bCs/>
          <w:color w:val="auto"/>
          <w:sz w:val="32"/>
          <w:szCs w:val="32"/>
          <w:u w:val="none"/>
        </w:rPr>
        <w:t>二）</w:t>
      </w:r>
      <w:r>
        <w:rPr>
          <w:rStyle w:val="17"/>
          <w:rFonts w:hint="eastAsia" w:ascii="仿宋_GB2312" w:hAnsi="仿宋_GB2312" w:eastAsia="仿宋_GB2312" w:cs="仿宋_GB2312"/>
          <w:bCs/>
          <w:color w:val="auto"/>
          <w:sz w:val="32"/>
          <w:szCs w:val="32"/>
          <w:u w:val="none"/>
          <w:lang w:val="en-US" w:eastAsia="zh-CN"/>
        </w:rPr>
        <w:t>协议草案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w:t>
      </w:r>
    </w:p>
    <w:p>
      <w:pPr>
        <w:pStyle w:val="8"/>
        <w:tabs>
          <w:tab w:val="right" w:leader="dot" w:pos="9004"/>
        </w:tabs>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"_Toc474316829" </w:instrText>
      </w:r>
      <w:r>
        <w:rPr>
          <w:rFonts w:hint="eastAsia" w:ascii="仿宋_GB2312" w:hAnsi="仿宋_GB2312" w:eastAsia="仿宋_GB2312" w:cs="仿宋_GB2312"/>
          <w:sz w:val="32"/>
          <w:szCs w:val="32"/>
        </w:rPr>
        <w:fldChar w:fldCharType="separate"/>
      </w:r>
      <w:r>
        <w:rPr>
          <w:rStyle w:val="17"/>
          <w:rFonts w:hint="eastAsia" w:ascii="仿宋_GB2312" w:hAnsi="仿宋_GB2312" w:eastAsia="仿宋_GB2312" w:cs="仿宋_GB2312"/>
          <w:sz w:val="32"/>
          <w:szCs w:val="32"/>
        </w:rPr>
        <w:t>五、</w:t>
      </w:r>
      <w:r>
        <w:rPr>
          <w:rStyle w:val="17"/>
          <w:rFonts w:hint="eastAsia" w:ascii="仿宋_GB2312" w:hAnsi="仿宋_GB2312" w:eastAsia="仿宋_GB2312" w:cs="仿宋_GB2312"/>
          <w:sz w:val="32"/>
          <w:szCs w:val="32"/>
          <w:lang w:val="en-US" w:eastAsia="zh-CN"/>
        </w:rPr>
        <w:t>绿色鄂尔多斯发展基金</w:t>
      </w:r>
      <w:r>
        <w:rPr>
          <w:rStyle w:val="17"/>
          <w:rFonts w:hint="eastAsia" w:ascii="仿宋_GB2312" w:hAnsi="仿宋_GB2312" w:eastAsia="仿宋_GB2312" w:cs="仿宋_GB2312"/>
          <w:sz w:val="32"/>
          <w:szCs w:val="32"/>
        </w:rPr>
        <w:t>申请者承诺函（附件6）</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8"/>
        <w:tabs>
          <w:tab w:val="right" w:leader="dot" w:pos="9004"/>
        </w:tabs>
        <w:rPr>
          <w:rFonts w:hint="default" w:eastAsia="仿宋_GB2312"/>
          <w:sz w:val="28"/>
          <w:szCs w:val="28"/>
          <w:lang w:val="en-US" w:eastAsia="zh-CN"/>
        </w:rPr>
      </w:pPr>
      <w:r>
        <w:rPr>
          <w:rFonts w:hint="eastAsia" w:eastAsia="仿宋_GB2312"/>
          <w:sz w:val="28"/>
          <w:szCs w:val="28"/>
          <w:lang w:val="en-US" w:eastAsia="zh-CN"/>
        </w:rPr>
        <w:t xml:space="preserve">   </w:t>
      </w:r>
    </w:p>
    <w:p>
      <w:pPr>
        <w:rPr>
          <w:rFonts w:eastAsia="仿宋_GB2312" w:cs="仿宋_GB2312"/>
          <w:sz w:val="32"/>
          <w:szCs w:val="32"/>
        </w:rPr>
      </w:pPr>
      <w:r>
        <w:rPr>
          <w:rFonts w:eastAsia="仿宋_GB2312" w:cs="仿宋_GB2312"/>
          <w:sz w:val="32"/>
          <w:szCs w:val="32"/>
        </w:rPr>
        <w:fldChar w:fldCharType="end"/>
      </w:r>
    </w:p>
    <w:p>
      <w:pPr>
        <w:rPr>
          <w:rFonts w:eastAsia="仿宋_GB2312" w:cs="仿宋_GB2312"/>
          <w:sz w:val="32"/>
          <w:szCs w:val="32"/>
        </w:rPr>
      </w:pPr>
    </w:p>
    <w:p>
      <w:pPr>
        <w:rPr>
          <w:rFonts w:eastAsia="仿宋_GB2312" w:cs="仿宋_GB2312"/>
          <w:sz w:val="32"/>
          <w:szCs w:val="32"/>
        </w:rPr>
      </w:pPr>
    </w:p>
    <w:p>
      <w:pPr>
        <w:rPr>
          <w:rFonts w:hint="eastAsia" w:eastAsia="仿宋_GB2312" w:cs="仿宋_GB2312"/>
          <w:sz w:val="32"/>
          <w:szCs w:val="32"/>
        </w:rPr>
      </w:pPr>
    </w:p>
    <w:p>
      <w:pPr>
        <w:rPr>
          <w:rFonts w:hint="eastAsia" w:eastAsia="黑体" w:cs="仿宋_GB2312"/>
          <w:sz w:val="32"/>
          <w:szCs w:val="32"/>
        </w:rPr>
      </w:pPr>
      <w:bookmarkStart w:id="0" w:name="_Toc474316820"/>
      <w:r>
        <w:rPr>
          <w:rFonts w:hint="eastAsia" w:eastAsia="黑体" w:cs="仿宋_GB2312"/>
          <w:sz w:val="32"/>
          <w:szCs w:val="32"/>
        </w:rPr>
        <w:br w:type="page"/>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bookmarkEnd w:id="0"/>
    </w:p>
    <w:p>
      <w:pPr>
        <w:spacing w:line="360" w:lineRule="auto"/>
        <w:jc w:val="center"/>
        <w:rPr>
          <w:rFonts w:hint="eastAsia" w:ascii="Times New Roman" w:hAnsi="Times New Roman" w:eastAsia="方正小标宋简体" w:cs="宋体"/>
          <w:bCs/>
          <w:sz w:val="52"/>
          <w:szCs w:val="52"/>
          <w:lang w:val="en-US" w:eastAsia="zh-CN"/>
        </w:rPr>
      </w:pPr>
    </w:p>
    <w:p>
      <w:pPr>
        <w:spacing w:line="360" w:lineRule="auto"/>
        <w:jc w:val="center"/>
        <w:rPr>
          <w:rFonts w:hint="eastAsia" w:ascii="Times New Roman" w:hAnsi="Times New Roman" w:eastAsia="方正小标宋简体" w:cs="宋体"/>
          <w:bCs/>
          <w:sz w:val="52"/>
          <w:szCs w:val="52"/>
          <w:lang w:val="en-US" w:eastAsia="zh-CN"/>
        </w:rPr>
      </w:pPr>
      <w:r>
        <w:rPr>
          <w:rFonts w:hint="eastAsia" w:ascii="Times New Roman" w:hAnsi="Times New Roman" w:eastAsia="方正小标宋简体" w:cs="宋体"/>
          <w:bCs/>
          <w:sz w:val="52"/>
          <w:szCs w:val="52"/>
          <w:lang w:val="en-US" w:eastAsia="zh-CN"/>
        </w:rPr>
        <w:t>绿色鄂尔多斯发展基金</w:t>
      </w:r>
    </w:p>
    <w:p>
      <w:pPr>
        <w:spacing w:line="360" w:lineRule="auto"/>
        <w:jc w:val="center"/>
        <w:rPr>
          <w:b/>
          <w:bCs/>
          <w:sz w:val="44"/>
          <w:szCs w:val="44"/>
        </w:rPr>
      </w:pPr>
    </w:p>
    <w:p>
      <w:pPr>
        <w:spacing w:line="360" w:lineRule="auto"/>
        <w:jc w:val="center"/>
        <w:rPr>
          <w:b/>
          <w:bCs/>
          <w:sz w:val="44"/>
          <w:szCs w:val="44"/>
        </w:rPr>
      </w:pPr>
    </w:p>
    <w:p>
      <w:pPr>
        <w:spacing w:line="360" w:lineRule="auto"/>
        <w:jc w:val="center"/>
        <w:rPr>
          <w:b/>
          <w:bCs/>
          <w:sz w:val="52"/>
          <w:szCs w:val="52"/>
        </w:rPr>
      </w:pPr>
      <w:r>
        <w:rPr>
          <w:rFonts w:hint="eastAsia" w:cs="宋体"/>
          <w:b/>
          <w:bCs/>
          <w:sz w:val="52"/>
          <w:szCs w:val="52"/>
        </w:rPr>
        <w:t>申</w:t>
      </w:r>
    </w:p>
    <w:p>
      <w:pPr>
        <w:spacing w:line="360" w:lineRule="auto"/>
        <w:jc w:val="center"/>
        <w:rPr>
          <w:b/>
          <w:bCs/>
          <w:sz w:val="52"/>
          <w:szCs w:val="52"/>
        </w:rPr>
      </w:pPr>
      <w:r>
        <w:rPr>
          <w:rFonts w:hint="eastAsia" w:cs="宋体"/>
          <w:b/>
          <w:bCs/>
          <w:sz w:val="52"/>
          <w:szCs w:val="52"/>
        </w:rPr>
        <w:t>请</w:t>
      </w:r>
    </w:p>
    <w:p>
      <w:pPr>
        <w:spacing w:line="360" w:lineRule="auto"/>
        <w:jc w:val="center"/>
        <w:rPr>
          <w:b/>
          <w:bCs/>
          <w:sz w:val="52"/>
          <w:szCs w:val="52"/>
        </w:rPr>
      </w:pPr>
      <w:r>
        <w:rPr>
          <w:rFonts w:hint="eastAsia" w:cs="宋体"/>
          <w:b/>
          <w:bCs/>
          <w:sz w:val="52"/>
          <w:szCs w:val="52"/>
        </w:rPr>
        <w:t>材</w:t>
      </w:r>
    </w:p>
    <w:p>
      <w:pPr>
        <w:spacing w:line="360" w:lineRule="auto"/>
        <w:jc w:val="center"/>
        <w:rPr>
          <w:b/>
          <w:bCs/>
          <w:sz w:val="52"/>
          <w:szCs w:val="52"/>
        </w:rPr>
      </w:pPr>
      <w:r>
        <w:rPr>
          <w:rFonts w:hint="eastAsia" w:cs="宋体"/>
          <w:b/>
          <w:bCs/>
          <w:sz w:val="52"/>
          <w:szCs w:val="52"/>
        </w:rPr>
        <w:t>料</w:t>
      </w:r>
    </w:p>
    <w:p/>
    <w:p/>
    <w:p/>
    <w:p/>
    <w:p/>
    <w:p>
      <w:pPr>
        <w:rPr>
          <w:sz w:val="28"/>
          <w:szCs w:val="28"/>
        </w:rPr>
      </w:pPr>
    </w:p>
    <w:p>
      <w:pPr>
        <w:rPr>
          <w:sz w:val="28"/>
          <w:szCs w:val="28"/>
        </w:rPr>
      </w:pPr>
    </w:p>
    <w:p>
      <w:pPr>
        <w:ind w:firstLine="2221" w:firstLineChars="790"/>
        <w:rPr>
          <w:b/>
          <w:bCs/>
          <w:sz w:val="28"/>
          <w:szCs w:val="28"/>
          <w:u w:val="single"/>
        </w:rPr>
      </w:pPr>
      <w:r>
        <w:rPr>
          <w:rFonts w:hint="eastAsia" w:cs="宋体"/>
          <w:b/>
          <w:bCs/>
          <w:sz w:val="28"/>
          <w:szCs w:val="28"/>
        </w:rPr>
        <w:t>申请机构：</w:t>
      </w:r>
      <w:r>
        <w:rPr>
          <w:rFonts w:cs="宋体"/>
          <w:b/>
          <w:bCs/>
          <w:sz w:val="28"/>
          <w:szCs w:val="28"/>
          <w:u w:val="single"/>
        </w:rPr>
        <w:t xml:space="preserve">      XXX</w:t>
      </w:r>
      <w:r>
        <w:rPr>
          <w:rFonts w:hint="eastAsia" w:cs="宋体"/>
          <w:b/>
          <w:bCs/>
          <w:sz w:val="28"/>
          <w:szCs w:val="28"/>
          <w:u w:val="single"/>
        </w:rPr>
        <w:t>公司</w:t>
      </w:r>
      <w:r>
        <w:rPr>
          <w:rFonts w:cs="宋体"/>
          <w:b/>
          <w:bCs/>
          <w:sz w:val="28"/>
          <w:szCs w:val="28"/>
          <w:u w:val="single"/>
        </w:rPr>
        <w:t xml:space="preserve">            </w:t>
      </w:r>
    </w:p>
    <w:p>
      <w:pPr>
        <w:ind w:firstLine="2221" w:firstLineChars="790"/>
        <w:rPr>
          <w:b/>
          <w:bCs/>
          <w:sz w:val="28"/>
          <w:szCs w:val="28"/>
        </w:rPr>
      </w:pPr>
      <w:r>
        <w:rPr>
          <w:rFonts w:hint="eastAsia" w:cs="宋体"/>
          <w:b/>
          <w:bCs/>
          <w:sz w:val="28"/>
          <w:szCs w:val="28"/>
        </w:rPr>
        <w:t>（盖章）</w:t>
      </w:r>
    </w:p>
    <w:p>
      <w:pPr>
        <w:ind w:firstLine="2221" w:firstLineChars="790"/>
        <w:rPr>
          <w:b/>
          <w:bCs/>
          <w:sz w:val="28"/>
          <w:szCs w:val="28"/>
          <w:u w:val="single"/>
        </w:rPr>
      </w:pPr>
      <w:r>
        <w:rPr>
          <w:rFonts w:hint="eastAsia" w:cs="宋体"/>
          <w:b/>
          <w:bCs/>
          <w:sz w:val="28"/>
          <w:szCs w:val="28"/>
        </w:rPr>
        <w:t>申请日期：</w:t>
      </w:r>
      <w:r>
        <w:rPr>
          <w:rFonts w:cs="宋体"/>
          <w:b/>
          <w:bCs/>
          <w:sz w:val="28"/>
          <w:szCs w:val="28"/>
          <w:u w:val="single"/>
        </w:rPr>
        <w:t xml:space="preserve">    20</w:t>
      </w:r>
      <w:r>
        <w:rPr>
          <w:rFonts w:hint="eastAsia" w:cs="宋体"/>
          <w:b/>
          <w:bCs/>
          <w:sz w:val="28"/>
          <w:szCs w:val="28"/>
          <w:u w:val="single"/>
          <w:lang w:val="en-US" w:eastAsia="zh-CN"/>
        </w:rPr>
        <w:t>19</w:t>
      </w:r>
      <w:r>
        <w:rPr>
          <w:rFonts w:hint="eastAsia" w:cs="宋体"/>
          <w:b/>
          <w:bCs/>
          <w:sz w:val="28"/>
          <w:szCs w:val="28"/>
          <w:u w:val="single"/>
        </w:rPr>
        <w:t>年</w:t>
      </w:r>
      <w:r>
        <w:rPr>
          <w:rFonts w:cs="宋体"/>
          <w:b/>
          <w:bCs/>
          <w:sz w:val="28"/>
          <w:szCs w:val="28"/>
          <w:u w:val="single"/>
        </w:rPr>
        <w:t>X</w:t>
      </w:r>
      <w:r>
        <w:rPr>
          <w:rFonts w:hint="eastAsia" w:cs="宋体"/>
          <w:b/>
          <w:bCs/>
          <w:sz w:val="28"/>
          <w:szCs w:val="28"/>
          <w:u w:val="single"/>
        </w:rPr>
        <w:t>月</w:t>
      </w:r>
      <w:r>
        <w:rPr>
          <w:rFonts w:cs="宋体"/>
          <w:b/>
          <w:bCs/>
          <w:sz w:val="28"/>
          <w:szCs w:val="28"/>
          <w:u w:val="single"/>
        </w:rPr>
        <w:t>X</w:t>
      </w:r>
      <w:r>
        <w:rPr>
          <w:rFonts w:hint="eastAsia" w:cs="宋体"/>
          <w:b/>
          <w:bCs/>
          <w:sz w:val="28"/>
          <w:szCs w:val="28"/>
          <w:u w:val="single"/>
        </w:rPr>
        <w:t>日</w:t>
      </w:r>
      <w:r>
        <w:rPr>
          <w:rFonts w:cs="宋体"/>
          <w:b/>
          <w:bCs/>
          <w:sz w:val="28"/>
          <w:szCs w:val="28"/>
          <w:u w:val="single"/>
        </w:rPr>
        <w:t xml:space="preserve">       </w:t>
      </w:r>
    </w:p>
    <w:p>
      <w:pPr>
        <w:jc w:val="left"/>
        <w:outlineLvl w:val="0"/>
        <w:rPr>
          <w:rFonts w:eastAsia="黑体" w:cs="仿宋_GB2312"/>
          <w:sz w:val="32"/>
          <w:szCs w:val="32"/>
        </w:rPr>
      </w:pPr>
      <w:bookmarkStart w:id="1" w:name="_Toc474316821"/>
    </w:p>
    <w:p>
      <w:pPr>
        <w:jc w:val="left"/>
        <w:outlineLvl w:val="0"/>
        <w:rPr>
          <w:rFonts w:hint="eastAsia" w:eastAsia="黑体" w:cs="仿宋_GB2312"/>
          <w:sz w:val="32"/>
          <w:szCs w:val="32"/>
        </w:rPr>
      </w:pPr>
    </w:p>
    <w:p>
      <w:pPr>
        <w:rPr>
          <w:rFonts w:hint="eastAsia" w:eastAsia="黑体" w:cs="仿宋_GB2312"/>
          <w:sz w:val="32"/>
          <w:szCs w:val="32"/>
        </w:rPr>
      </w:pPr>
      <w:r>
        <w:rPr>
          <w:rFonts w:hint="eastAsia" w:eastAsia="黑体" w:cs="仿宋_GB2312"/>
          <w:sz w:val="32"/>
          <w:szCs w:val="32"/>
        </w:rPr>
        <w:br w:type="page"/>
      </w:r>
    </w:p>
    <w:p>
      <w:pPr>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keepNext w:val="0"/>
        <w:keepLines w:val="0"/>
        <w:pageBreakBefore w:val="0"/>
        <w:kinsoku/>
        <w:overflowPunct/>
        <w:topLinePunct w:val="0"/>
        <w:autoSpaceDE/>
        <w:autoSpaceDN/>
        <w:bidi w:val="0"/>
        <w:spacing w:line="240" w:lineRule="atLeast"/>
        <w:ind w:firstLine="640"/>
        <w:jc w:val="center"/>
        <w:textAlignment w:val="auto"/>
        <w:outlineLvl w:val="0"/>
        <w:rPr>
          <w:rFonts w:hint="eastAsia" w:eastAsia="方正小标宋简体" w:cs="仿宋_GB2312"/>
          <w:sz w:val="40"/>
          <w:szCs w:val="40"/>
        </w:rPr>
      </w:pPr>
      <w:r>
        <w:rPr>
          <w:rFonts w:hint="eastAsia" w:eastAsia="方正小标宋简体" w:cs="仿宋_GB2312"/>
          <w:sz w:val="40"/>
          <w:szCs w:val="40"/>
          <w:lang w:val="en-US" w:eastAsia="zh-CN"/>
        </w:rPr>
        <w:t>绿色鄂尔多斯发展基金</w:t>
      </w:r>
      <w:r>
        <w:rPr>
          <w:rFonts w:hint="eastAsia" w:eastAsia="方正小标宋简体" w:cs="仿宋_GB2312"/>
          <w:sz w:val="40"/>
          <w:szCs w:val="40"/>
        </w:rPr>
        <w:t>申请机构登记</w:t>
      </w:r>
    </w:p>
    <w:bookmarkEnd w:id="1"/>
    <w:tbl>
      <w:tblPr>
        <w:tblStyle w:val="12"/>
        <w:tblpPr w:leftFromText="180" w:rightFromText="180" w:vertAnchor="page" w:horzAnchor="page" w:tblpX="1305" w:tblpY="3201"/>
        <w:tblW w:w="9560" w:type="dxa"/>
        <w:tblInd w:w="0" w:type="dxa"/>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
      <w:tblGrid>
        <w:gridCol w:w="1791"/>
        <w:gridCol w:w="1274"/>
        <w:gridCol w:w="1790"/>
        <w:gridCol w:w="140"/>
        <w:gridCol w:w="863"/>
        <w:gridCol w:w="1664"/>
        <w:gridCol w:w="2038"/>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473" w:hRule="atLeast"/>
        </w:trPr>
        <w:tc>
          <w:tcPr>
            <w:tcW w:w="9560" w:type="dxa"/>
            <w:gridSpan w:val="7"/>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sz w:val="24"/>
              </w:rPr>
            </w:pPr>
            <w:bookmarkStart w:id="2" w:name="_Toc474316822"/>
            <w:r>
              <w:rPr>
                <w:rFonts w:hint="eastAsia" w:ascii="仿宋" w:hAnsi="仿宋" w:eastAsia="仿宋"/>
                <w:sz w:val="24"/>
              </w:rPr>
              <w:t>一、申请机构（</w:t>
            </w:r>
            <w:r>
              <w:rPr>
                <w:rFonts w:hint="eastAsia" w:ascii="仿宋" w:hAnsi="仿宋" w:eastAsia="仿宋"/>
                <w:sz w:val="24"/>
                <w:lang w:eastAsia="zh-CN"/>
              </w:rPr>
              <w:t>基金管理机构</w:t>
            </w:r>
            <w:r>
              <w:rPr>
                <w:rFonts w:hint="eastAsia" w:ascii="仿宋" w:hAnsi="仿宋" w:eastAsia="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780" w:hRule="atLeast"/>
        </w:trPr>
        <w:tc>
          <w:tcPr>
            <w:tcW w:w="1791" w:type="dxa"/>
            <w:tcBorders>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r>
              <w:rPr>
                <w:rFonts w:hint="eastAsia" w:ascii="仿宋" w:hAnsi="仿宋" w:eastAsia="仿宋" w:cs="宋体"/>
                <w:sz w:val="24"/>
              </w:rPr>
              <w:t>机构名称</w:t>
            </w:r>
          </w:p>
        </w:tc>
        <w:tc>
          <w:tcPr>
            <w:tcW w:w="7769" w:type="dxa"/>
            <w:gridSpan w:val="6"/>
            <w:tcBorders>
              <w:lef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734" w:hRule="atLeast"/>
        </w:trPr>
        <w:tc>
          <w:tcPr>
            <w:tcW w:w="1791" w:type="dxa"/>
            <w:tcBorders>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color w:val="000000"/>
                <w:sz w:val="24"/>
              </w:rPr>
            </w:pPr>
            <w:r>
              <w:rPr>
                <w:rFonts w:hint="eastAsia" w:ascii="仿宋" w:hAnsi="仿宋" w:eastAsia="仿宋" w:cs="宋体"/>
                <w:color w:val="000000"/>
                <w:sz w:val="24"/>
              </w:rPr>
              <w:t>注册地址</w:t>
            </w:r>
          </w:p>
        </w:tc>
        <w:tc>
          <w:tcPr>
            <w:tcW w:w="3204" w:type="dxa"/>
            <w:gridSpan w:val="3"/>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color w:val="000000"/>
                <w:sz w:val="24"/>
              </w:rPr>
            </w:pPr>
          </w:p>
        </w:tc>
        <w:tc>
          <w:tcPr>
            <w:tcW w:w="2527"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color w:val="000000"/>
                <w:sz w:val="24"/>
              </w:rPr>
            </w:pPr>
            <w:r>
              <w:rPr>
                <w:rFonts w:hint="eastAsia" w:ascii="仿宋" w:hAnsi="仿宋" w:eastAsia="仿宋" w:cs="宋体"/>
                <w:color w:val="000000"/>
                <w:sz w:val="24"/>
              </w:rPr>
              <w:t>法定代表人/执行事务合伙人</w:t>
            </w:r>
          </w:p>
        </w:tc>
        <w:tc>
          <w:tcPr>
            <w:tcW w:w="2038" w:type="dxa"/>
            <w:tcBorders>
              <w:lef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820" w:hRule="atLeast"/>
        </w:trPr>
        <w:tc>
          <w:tcPr>
            <w:tcW w:w="1791" w:type="dxa"/>
            <w:tcBorders>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color w:val="000000"/>
                <w:sz w:val="24"/>
              </w:rPr>
            </w:pPr>
            <w:r>
              <w:rPr>
                <w:rFonts w:hint="eastAsia" w:ascii="仿宋" w:hAnsi="仿宋" w:eastAsia="仿宋" w:cs="宋体"/>
                <w:color w:val="000000"/>
                <w:sz w:val="24"/>
              </w:rPr>
              <w:t>注册资本/认缴出资总额</w:t>
            </w:r>
          </w:p>
        </w:tc>
        <w:tc>
          <w:tcPr>
            <w:tcW w:w="3204" w:type="dxa"/>
            <w:gridSpan w:val="3"/>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jc w:val="right"/>
              <w:textAlignment w:val="auto"/>
              <w:rPr>
                <w:rFonts w:ascii="仿宋" w:hAnsi="仿宋" w:eastAsia="仿宋" w:cs="宋体"/>
                <w:color w:val="000000"/>
                <w:sz w:val="24"/>
              </w:rPr>
            </w:pPr>
            <w:r>
              <w:rPr>
                <w:rFonts w:hint="eastAsia" w:ascii="仿宋" w:hAnsi="仿宋" w:eastAsia="仿宋" w:cs="宋体"/>
                <w:sz w:val="24"/>
              </w:rPr>
              <w:t>万元</w:t>
            </w:r>
          </w:p>
        </w:tc>
        <w:tc>
          <w:tcPr>
            <w:tcW w:w="2527"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color w:val="000000"/>
                <w:sz w:val="24"/>
              </w:rPr>
            </w:pPr>
            <w:r>
              <w:rPr>
                <w:rFonts w:hint="eastAsia" w:ascii="仿宋" w:hAnsi="仿宋" w:eastAsia="仿宋" w:cs="宋体"/>
                <w:color w:val="000000"/>
                <w:sz w:val="24"/>
              </w:rPr>
              <w:t>实缴注册资本/实缴出资总额</w:t>
            </w:r>
          </w:p>
        </w:tc>
        <w:tc>
          <w:tcPr>
            <w:tcW w:w="2038" w:type="dxa"/>
            <w:tcBorders>
              <w:left w:val="single" w:color="auto" w:sz="6" w:space="0"/>
            </w:tcBorders>
            <w:vAlign w:val="center"/>
          </w:tcPr>
          <w:p>
            <w:pPr>
              <w:keepNext w:val="0"/>
              <w:keepLines w:val="0"/>
              <w:pageBreakBefore w:val="0"/>
              <w:kinsoku/>
              <w:overflowPunct/>
              <w:topLinePunct w:val="0"/>
              <w:autoSpaceDE/>
              <w:autoSpaceDN/>
              <w:bidi w:val="0"/>
              <w:spacing w:line="240" w:lineRule="atLeast"/>
              <w:jc w:val="right"/>
              <w:textAlignment w:val="auto"/>
              <w:rPr>
                <w:rFonts w:ascii="仿宋" w:hAnsi="仿宋" w:eastAsia="仿宋" w:cs="宋体"/>
                <w:sz w:val="24"/>
              </w:rPr>
            </w:pPr>
            <w:r>
              <w:rPr>
                <w:rFonts w:hint="eastAsia" w:ascii="仿宋" w:hAnsi="仿宋" w:eastAsia="仿宋" w:cs="宋体"/>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678" w:hRule="atLeast"/>
        </w:trPr>
        <w:tc>
          <w:tcPr>
            <w:tcW w:w="1791" w:type="dxa"/>
            <w:vMerge w:val="restart"/>
            <w:tcBorders>
              <w:right w:val="single" w:color="auto" w:sz="6" w:space="0"/>
            </w:tcBorders>
            <w:vAlign w:val="center"/>
          </w:tcPr>
          <w:p>
            <w:pPr>
              <w:keepNext w:val="0"/>
              <w:keepLines w:val="0"/>
              <w:pageBreakBefore w:val="0"/>
              <w:kinsoku/>
              <w:overflowPunct/>
              <w:topLinePunct w:val="0"/>
              <w:autoSpaceDE/>
              <w:autoSpaceDN/>
              <w:bidi w:val="0"/>
              <w:spacing w:line="240" w:lineRule="atLeast"/>
              <w:jc w:val="center"/>
              <w:textAlignment w:val="auto"/>
              <w:rPr>
                <w:rFonts w:ascii="仿宋" w:hAnsi="仿宋" w:eastAsia="仿宋" w:cs="宋体"/>
                <w:color w:val="000000"/>
                <w:sz w:val="24"/>
              </w:rPr>
            </w:pPr>
            <w:r>
              <w:rPr>
                <w:rFonts w:hint="eastAsia" w:ascii="仿宋" w:hAnsi="仿宋" w:eastAsia="仿宋" w:cs="宋体"/>
                <w:color w:val="000000"/>
                <w:sz w:val="24"/>
              </w:rPr>
              <w:t>联系人</w:t>
            </w:r>
          </w:p>
        </w:tc>
        <w:tc>
          <w:tcPr>
            <w:tcW w:w="1274" w:type="dxa"/>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color w:val="000000"/>
                <w:sz w:val="24"/>
              </w:rPr>
            </w:pPr>
            <w:r>
              <w:rPr>
                <w:rFonts w:hint="eastAsia" w:ascii="仿宋" w:hAnsi="仿宋" w:eastAsia="仿宋" w:cs="宋体"/>
                <w:color w:val="000000"/>
                <w:sz w:val="24"/>
              </w:rPr>
              <w:t>姓名</w:t>
            </w:r>
          </w:p>
        </w:tc>
        <w:tc>
          <w:tcPr>
            <w:tcW w:w="1930"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color w:val="000000"/>
                <w:sz w:val="24"/>
              </w:rPr>
            </w:pPr>
          </w:p>
        </w:tc>
        <w:tc>
          <w:tcPr>
            <w:tcW w:w="2527"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color w:val="000000"/>
                <w:sz w:val="24"/>
              </w:rPr>
            </w:pPr>
            <w:r>
              <w:rPr>
                <w:rFonts w:hint="eastAsia" w:ascii="仿宋" w:hAnsi="仿宋" w:eastAsia="仿宋" w:cs="宋体"/>
                <w:color w:val="000000"/>
                <w:sz w:val="24"/>
              </w:rPr>
              <w:t>职务</w:t>
            </w:r>
          </w:p>
        </w:tc>
        <w:tc>
          <w:tcPr>
            <w:tcW w:w="2038" w:type="dxa"/>
            <w:tcBorders>
              <w:lef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622" w:hRule="atLeast"/>
        </w:trPr>
        <w:tc>
          <w:tcPr>
            <w:tcW w:w="1791" w:type="dxa"/>
            <w:vMerge w:val="continue"/>
            <w:tcBorders>
              <w:right w:val="single" w:color="auto" w:sz="6" w:space="0"/>
            </w:tcBorders>
            <w:vAlign w:val="center"/>
          </w:tcPr>
          <w:p>
            <w:pPr>
              <w:keepNext w:val="0"/>
              <w:keepLines w:val="0"/>
              <w:pageBreakBefore w:val="0"/>
              <w:widowControl/>
              <w:kinsoku/>
              <w:overflowPunct/>
              <w:topLinePunct w:val="0"/>
              <w:autoSpaceDE/>
              <w:autoSpaceDN/>
              <w:bidi w:val="0"/>
              <w:spacing w:line="240" w:lineRule="atLeast"/>
              <w:textAlignment w:val="auto"/>
              <w:rPr>
                <w:rFonts w:ascii="仿宋" w:hAnsi="仿宋" w:eastAsia="仿宋" w:cs="宋体"/>
                <w:sz w:val="24"/>
              </w:rPr>
            </w:pPr>
          </w:p>
        </w:tc>
        <w:tc>
          <w:tcPr>
            <w:tcW w:w="1274" w:type="dxa"/>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r>
              <w:rPr>
                <w:rFonts w:hint="eastAsia" w:ascii="仿宋" w:hAnsi="仿宋" w:eastAsia="仿宋" w:cs="宋体"/>
                <w:sz w:val="24"/>
              </w:rPr>
              <w:t>办公电话</w:t>
            </w:r>
          </w:p>
        </w:tc>
        <w:tc>
          <w:tcPr>
            <w:tcW w:w="1930"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c>
          <w:tcPr>
            <w:tcW w:w="2527"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r>
              <w:rPr>
                <w:rFonts w:hint="eastAsia" w:ascii="仿宋" w:hAnsi="仿宋" w:eastAsia="仿宋" w:cs="宋体"/>
                <w:sz w:val="24"/>
              </w:rPr>
              <w:t>手机</w:t>
            </w:r>
          </w:p>
        </w:tc>
        <w:tc>
          <w:tcPr>
            <w:tcW w:w="2038" w:type="dxa"/>
            <w:tcBorders>
              <w:lef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622" w:hRule="atLeast"/>
        </w:trPr>
        <w:tc>
          <w:tcPr>
            <w:tcW w:w="1791" w:type="dxa"/>
            <w:vMerge w:val="continue"/>
            <w:tcBorders>
              <w:right w:val="single" w:color="auto" w:sz="6" w:space="0"/>
            </w:tcBorders>
            <w:vAlign w:val="center"/>
          </w:tcPr>
          <w:p>
            <w:pPr>
              <w:keepNext w:val="0"/>
              <w:keepLines w:val="0"/>
              <w:pageBreakBefore w:val="0"/>
              <w:widowControl/>
              <w:kinsoku/>
              <w:overflowPunct/>
              <w:topLinePunct w:val="0"/>
              <w:autoSpaceDE/>
              <w:autoSpaceDN/>
              <w:bidi w:val="0"/>
              <w:spacing w:line="240" w:lineRule="atLeast"/>
              <w:textAlignment w:val="auto"/>
              <w:rPr>
                <w:rFonts w:ascii="仿宋" w:hAnsi="仿宋" w:eastAsia="仿宋" w:cs="宋体"/>
                <w:sz w:val="24"/>
              </w:rPr>
            </w:pPr>
          </w:p>
        </w:tc>
        <w:tc>
          <w:tcPr>
            <w:tcW w:w="1274" w:type="dxa"/>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r>
              <w:rPr>
                <w:rFonts w:hint="eastAsia" w:ascii="仿宋" w:hAnsi="仿宋" w:eastAsia="仿宋" w:cs="宋体"/>
                <w:sz w:val="24"/>
              </w:rPr>
              <w:t>传真</w:t>
            </w:r>
          </w:p>
        </w:tc>
        <w:tc>
          <w:tcPr>
            <w:tcW w:w="1930"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c>
          <w:tcPr>
            <w:tcW w:w="2527"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r>
              <w:rPr>
                <w:rFonts w:hint="eastAsia" w:ascii="仿宋" w:hAnsi="仿宋" w:eastAsia="仿宋" w:cs="宋体"/>
                <w:sz w:val="24"/>
              </w:rPr>
              <w:t>电子邮箱</w:t>
            </w:r>
          </w:p>
        </w:tc>
        <w:tc>
          <w:tcPr>
            <w:tcW w:w="2038" w:type="dxa"/>
            <w:tcBorders>
              <w:lef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733" w:hRule="atLeast"/>
        </w:trPr>
        <w:tc>
          <w:tcPr>
            <w:tcW w:w="1791" w:type="dxa"/>
            <w:vMerge w:val="continue"/>
            <w:tcBorders>
              <w:right w:val="single" w:color="auto" w:sz="6" w:space="0"/>
            </w:tcBorders>
            <w:vAlign w:val="center"/>
          </w:tcPr>
          <w:p>
            <w:pPr>
              <w:keepNext w:val="0"/>
              <w:keepLines w:val="0"/>
              <w:pageBreakBefore w:val="0"/>
              <w:widowControl/>
              <w:kinsoku/>
              <w:overflowPunct/>
              <w:topLinePunct w:val="0"/>
              <w:autoSpaceDE/>
              <w:autoSpaceDN/>
              <w:bidi w:val="0"/>
              <w:spacing w:line="240" w:lineRule="atLeast"/>
              <w:textAlignment w:val="auto"/>
              <w:rPr>
                <w:rFonts w:ascii="仿宋" w:hAnsi="仿宋" w:eastAsia="仿宋" w:cs="宋体"/>
                <w:sz w:val="24"/>
              </w:rPr>
            </w:pPr>
          </w:p>
        </w:tc>
        <w:tc>
          <w:tcPr>
            <w:tcW w:w="1274" w:type="dxa"/>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r>
              <w:rPr>
                <w:rFonts w:hint="eastAsia" w:ascii="仿宋" w:hAnsi="仿宋" w:eastAsia="仿宋" w:cs="宋体"/>
                <w:sz w:val="24"/>
              </w:rPr>
              <w:t>通信地址</w:t>
            </w:r>
          </w:p>
        </w:tc>
        <w:tc>
          <w:tcPr>
            <w:tcW w:w="1930"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c>
          <w:tcPr>
            <w:tcW w:w="2527"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r>
              <w:rPr>
                <w:rFonts w:hint="eastAsia" w:ascii="仿宋" w:hAnsi="仿宋" w:eastAsia="仿宋" w:cs="宋体"/>
                <w:sz w:val="24"/>
              </w:rPr>
              <w:t>邮政编码</w:t>
            </w:r>
          </w:p>
        </w:tc>
        <w:tc>
          <w:tcPr>
            <w:tcW w:w="2038" w:type="dxa"/>
            <w:tcBorders>
              <w:lef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584" w:hRule="atLeast"/>
        </w:trPr>
        <w:tc>
          <w:tcPr>
            <w:tcW w:w="9560" w:type="dxa"/>
            <w:gridSpan w:val="7"/>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sz w:val="24"/>
              </w:rPr>
            </w:pPr>
            <w:r>
              <w:rPr>
                <w:rFonts w:hint="eastAsia" w:ascii="仿宋" w:hAnsi="仿宋" w:eastAsia="仿宋"/>
                <w:sz w:val="24"/>
              </w:rPr>
              <w:t>二、绿色鄂尔多斯发展基金方案设计</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785" w:hRule="atLeast"/>
        </w:trPr>
        <w:tc>
          <w:tcPr>
            <w:tcW w:w="1791" w:type="dxa"/>
            <w:tcBorders>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pacing w:val="-22"/>
                <w:w w:val="90"/>
                <w:sz w:val="24"/>
              </w:rPr>
            </w:pPr>
            <w:r>
              <w:rPr>
                <w:rFonts w:hint="eastAsia" w:ascii="仿宋" w:hAnsi="仿宋" w:eastAsia="仿宋" w:cs="宋体"/>
                <w:spacing w:val="-22"/>
                <w:w w:val="90"/>
                <w:sz w:val="24"/>
              </w:rPr>
              <w:t>名称（暂定名）</w:t>
            </w:r>
          </w:p>
        </w:tc>
        <w:tc>
          <w:tcPr>
            <w:tcW w:w="4067" w:type="dxa"/>
            <w:gridSpan w:val="4"/>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ind w:firstLine="1680" w:firstLineChars="700"/>
              <w:textAlignment w:val="auto"/>
              <w:rPr>
                <w:rFonts w:ascii="仿宋" w:hAnsi="仿宋" w:eastAsia="仿宋" w:cs="宋体"/>
                <w:sz w:val="24"/>
              </w:rPr>
            </w:pPr>
          </w:p>
        </w:tc>
        <w:tc>
          <w:tcPr>
            <w:tcW w:w="1664" w:type="dxa"/>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hint="eastAsia" w:ascii="仿宋" w:hAnsi="仿宋" w:eastAsia="仿宋" w:cs="宋体"/>
                <w:sz w:val="24"/>
              </w:rPr>
            </w:pPr>
            <w:r>
              <w:rPr>
                <w:rFonts w:hint="eastAsia" w:ascii="仿宋" w:hAnsi="仿宋" w:eastAsia="仿宋" w:cs="宋体"/>
                <w:sz w:val="24"/>
              </w:rPr>
              <w:t>组织形式</w:t>
            </w:r>
          </w:p>
        </w:tc>
        <w:tc>
          <w:tcPr>
            <w:tcW w:w="2038" w:type="dxa"/>
            <w:tcBorders>
              <w:lef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hint="eastAsia" w:ascii="仿宋" w:hAnsi="仿宋" w:eastAsia="仿宋" w:cs="宋体"/>
                <w:sz w:val="24"/>
              </w:rPr>
            </w:pPr>
            <w:r>
              <w:rPr>
                <w:rFonts w:hint="eastAsia" w:ascii="仿宋" w:hAnsi="仿宋" w:eastAsia="仿宋" w:cs="宋体"/>
                <w:sz w:val="24"/>
              </w:rPr>
              <w:t>□公司制□契约制□有限合伙制</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718" w:hRule="atLeast"/>
        </w:trPr>
        <w:tc>
          <w:tcPr>
            <w:tcW w:w="1791" w:type="dxa"/>
            <w:tcBorders>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r>
              <w:rPr>
                <w:rFonts w:hint="eastAsia" w:ascii="仿宋" w:hAnsi="仿宋" w:eastAsia="仿宋" w:cs="宋体"/>
                <w:spacing w:val="-22"/>
                <w:w w:val="90"/>
                <w:sz w:val="24"/>
              </w:rPr>
              <w:t>注册地址（拟）</w:t>
            </w:r>
          </w:p>
        </w:tc>
        <w:tc>
          <w:tcPr>
            <w:tcW w:w="4067" w:type="dxa"/>
            <w:gridSpan w:val="4"/>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ind w:firstLine="1680" w:firstLineChars="700"/>
              <w:textAlignment w:val="auto"/>
              <w:rPr>
                <w:rFonts w:ascii="仿宋" w:hAnsi="仿宋" w:eastAsia="仿宋" w:cs="宋体"/>
                <w:sz w:val="24"/>
              </w:rPr>
            </w:pPr>
          </w:p>
        </w:tc>
        <w:tc>
          <w:tcPr>
            <w:tcW w:w="1664" w:type="dxa"/>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hint="eastAsia" w:ascii="仿宋" w:hAnsi="仿宋" w:eastAsia="仿宋" w:cs="宋体"/>
                <w:sz w:val="24"/>
              </w:rPr>
            </w:pPr>
            <w:r>
              <w:rPr>
                <w:rFonts w:hint="eastAsia" w:ascii="仿宋" w:hAnsi="仿宋" w:eastAsia="仿宋" w:cs="宋体"/>
                <w:sz w:val="24"/>
              </w:rPr>
              <w:t>营业/合伙期限(存续期)</w:t>
            </w:r>
          </w:p>
        </w:tc>
        <w:tc>
          <w:tcPr>
            <w:tcW w:w="2038" w:type="dxa"/>
            <w:tcBorders>
              <w:lef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hint="eastAsia"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638" w:hRule="atLeast"/>
        </w:trPr>
        <w:tc>
          <w:tcPr>
            <w:tcW w:w="9560" w:type="dxa"/>
            <w:gridSpan w:val="7"/>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sz w:val="24"/>
              </w:rPr>
            </w:pPr>
            <w:r>
              <w:rPr>
                <w:rFonts w:hint="eastAsia" w:ascii="仿宋" w:hAnsi="仿宋" w:eastAsia="仿宋"/>
                <w:sz w:val="24"/>
              </w:rPr>
              <w:t>三、基金普通合伙人</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717" w:hRule="atLeast"/>
        </w:trPr>
        <w:tc>
          <w:tcPr>
            <w:tcW w:w="1791" w:type="dxa"/>
            <w:tcBorders>
              <w:right w:val="single" w:color="auto" w:sz="6" w:space="0"/>
            </w:tcBorders>
            <w:vAlign w:val="center"/>
          </w:tcPr>
          <w:p>
            <w:pPr>
              <w:keepNext w:val="0"/>
              <w:keepLines w:val="0"/>
              <w:pageBreakBefore w:val="0"/>
              <w:kinsoku/>
              <w:overflowPunct/>
              <w:topLinePunct w:val="0"/>
              <w:autoSpaceDE/>
              <w:autoSpaceDN/>
              <w:bidi w:val="0"/>
              <w:spacing w:line="240" w:lineRule="atLeast"/>
              <w:ind w:firstLine="13" w:firstLineChars="7"/>
              <w:textAlignment w:val="auto"/>
              <w:rPr>
                <w:rFonts w:ascii="仿宋" w:hAnsi="仿宋" w:eastAsia="仿宋" w:cs="宋体"/>
                <w:w w:val="100"/>
                <w:sz w:val="24"/>
              </w:rPr>
            </w:pPr>
            <w:r>
              <w:rPr>
                <w:rFonts w:hint="eastAsia" w:ascii="仿宋" w:hAnsi="仿宋" w:eastAsia="仿宋" w:cs="宋体"/>
                <w:spacing w:val="-22"/>
                <w:w w:val="100"/>
                <w:sz w:val="24"/>
                <w:lang w:val="en-US" w:eastAsia="zh-CN"/>
              </w:rPr>
              <w:t>机构</w:t>
            </w:r>
            <w:r>
              <w:rPr>
                <w:rFonts w:hint="eastAsia" w:ascii="仿宋" w:hAnsi="仿宋" w:eastAsia="仿宋" w:cs="宋体"/>
                <w:spacing w:val="-22"/>
                <w:w w:val="100"/>
                <w:sz w:val="24"/>
              </w:rPr>
              <w:t>名称</w:t>
            </w:r>
            <w:r>
              <w:rPr>
                <w:rFonts w:hint="eastAsia" w:ascii="仿宋" w:hAnsi="仿宋" w:eastAsia="仿宋" w:cs="宋体"/>
                <w:spacing w:val="-22"/>
                <w:w w:val="90"/>
                <w:sz w:val="24"/>
              </w:rPr>
              <w:t>（暂定名）</w:t>
            </w:r>
          </w:p>
        </w:tc>
        <w:tc>
          <w:tcPr>
            <w:tcW w:w="3064"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c>
          <w:tcPr>
            <w:tcW w:w="2667" w:type="dxa"/>
            <w:gridSpan w:val="3"/>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r>
              <w:rPr>
                <w:rFonts w:hint="eastAsia" w:ascii="仿宋" w:hAnsi="仿宋" w:eastAsia="仿宋" w:cs="宋体"/>
                <w:sz w:val="24"/>
              </w:rPr>
              <w:t>组织形式</w:t>
            </w:r>
          </w:p>
        </w:tc>
        <w:tc>
          <w:tcPr>
            <w:tcW w:w="2038" w:type="dxa"/>
            <w:tcBorders>
              <w:left w:val="single" w:color="auto" w:sz="6" w:space="0"/>
            </w:tcBorders>
            <w:vAlign w:val="center"/>
          </w:tcPr>
          <w:p>
            <w:pPr>
              <w:keepNext w:val="0"/>
              <w:keepLines w:val="0"/>
              <w:pageBreakBefore w:val="0"/>
              <w:kinsoku/>
              <w:overflowPunct/>
              <w:topLinePunct w:val="0"/>
              <w:autoSpaceDE/>
              <w:autoSpaceDN/>
              <w:bidi w:val="0"/>
              <w:adjustRightInd w:val="0"/>
              <w:snapToGrid w:val="0"/>
              <w:spacing w:line="240" w:lineRule="atLeast"/>
              <w:textAlignment w:val="auto"/>
              <w:rPr>
                <w:rFonts w:ascii="仿宋" w:hAnsi="仿宋" w:eastAsia="仿宋" w:cs="宋体"/>
                <w:sz w:val="24"/>
              </w:rPr>
            </w:pPr>
            <w:r>
              <w:rPr>
                <w:rFonts w:hint="eastAsia" w:ascii="仿宋" w:hAnsi="仿宋" w:eastAsia="仿宋" w:cs="宋体"/>
                <w:sz w:val="24"/>
              </w:rPr>
              <w:t>□公司制</w:t>
            </w:r>
          </w:p>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r>
              <w:rPr>
                <w:rFonts w:hint="eastAsia" w:ascii="仿宋" w:hAnsi="仿宋" w:eastAsia="仿宋" w:cs="宋体"/>
                <w:sz w:val="24"/>
              </w:rPr>
              <w:t>□有限合伙制</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718" w:hRule="atLeast"/>
        </w:trPr>
        <w:tc>
          <w:tcPr>
            <w:tcW w:w="1791" w:type="dxa"/>
            <w:tcBorders>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color w:val="FF0000"/>
                <w:w w:val="100"/>
              </w:rPr>
            </w:pPr>
            <w:r>
              <w:rPr>
                <w:rFonts w:hint="eastAsia" w:ascii="仿宋" w:hAnsi="仿宋" w:eastAsia="仿宋" w:cs="宋体"/>
                <w:spacing w:val="-22"/>
                <w:w w:val="100"/>
                <w:sz w:val="24"/>
              </w:rPr>
              <w:t>注册地址</w:t>
            </w:r>
            <w:r>
              <w:rPr>
                <w:rFonts w:hint="eastAsia" w:ascii="仿宋" w:hAnsi="仿宋" w:eastAsia="仿宋" w:cs="宋体"/>
                <w:spacing w:val="-22"/>
                <w:w w:val="90"/>
                <w:sz w:val="24"/>
              </w:rPr>
              <w:t>（拟）</w:t>
            </w:r>
          </w:p>
        </w:tc>
        <w:tc>
          <w:tcPr>
            <w:tcW w:w="3064"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c>
          <w:tcPr>
            <w:tcW w:w="2667" w:type="dxa"/>
            <w:gridSpan w:val="3"/>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r>
              <w:rPr>
                <w:rFonts w:hint="eastAsia" w:ascii="仿宋" w:hAnsi="仿宋" w:eastAsia="仿宋" w:cs="宋体"/>
                <w:sz w:val="24"/>
              </w:rPr>
              <w:t>法定代表人/执行事务合伙人</w:t>
            </w:r>
          </w:p>
        </w:tc>
        <w:tc>
          <w:tcPr>
            <w:tcW w:w="2038" w:type="dxa"/>
            <w:tcBorders>
              <w:lef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Ex>
        <w:trPr>
          <w:trHeight w:val="893" w:hRule="atLeast"/>
        </w:trPr>
        <w:tc>
          <w:tcPr>
            <w:tcW w:w="1791" w:type="dxa"/>
            <w:tcBorders>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w w:val="100"/>
                <w:sz w:val="24"/>
              </w:rPr>
            </w:pPr>
            <w:r>
              <w:rPr>
                <w:rFonts w:hint="eastAsia" w:ascii="仿宋" w:hAnsi="仿宋" w:eastAsia="仿宋" w:cs="宋体"/>
                <w:w w:val="100"/>
                <w:sz w:val="24"/>
              </w:rPr>
              <w:t>注册资本/认缴出资总额</w:t>
            </w:r>
          </w:p>
        </w:tc>
        <w:tc>
          <w:tcPr>
            <w:tcW w:w="3064" w:type="dxa"/>
            <w:gridSpan w:val="2"/>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jc w:val="right"/>
              <w:textAlignment w:val="auto"/>
              <w:rPr>
                <w:rFonts w:ascii="仿宋" w:hAnsi="仿宋" w:eastAsia="仿宋" w:cs="宋体"/>
                <w:sz w:val="24"/>
              </w:rPr>
            </w:pPr>
            <w:r>
              <w:rPr>
                <w:rFonts w:hint="eastAsia" w:ascii="仿宋" w:hAnsi="仿宋" w:eastAsia="仿宋" w:cs="宋体"/>
                <w:sz w:val="24"/>
              </w:rPr>
              <w:t>万元</w:t>
            </w:r>
          </w:p>
        </w:tc>
        <w:tc>
          <w:tcPr>
            <w:tcW w:w="2667" w:type="dxa"/>
            <w:gridSpan w:val="3"/>
            <w:tcBorders>
              <w:left w:val="single" w:color="auto" w:sz="6" w:space="0"/>
              <w:right w:val="single" w:color="auto" w:sz="6" w:space="0"/>
            </w:tcBorders>
            <w:vAlign w:val="center"/>
          </w:tcPr>
          <w:p>
            <w:pPr>
              <w:keepNext w:val="0"/>
              <w:keepLines w:val="0"/>
              <w:pageBreakBefore w:val="0"/>
              <w:kinsoku/>
              <w:overflowPunct/>
              <w:topLinePunct w:val="0"/>
              <w:autoSpaceDE/>
              <w:autoSpaceDN/>
              <w:bidi w:val="0"/>
              <w:spacing w:line="240" w:lineRule="atLeast"/>
              <w:textAlignment w:val="auto"/>
              <w:rPr>
                <w:rFonts w:ascii="仿宋" w:hAnsi="仿宋" w:eastAsia="仿宋" w:cs="宋体"/>
                <w:color w:val="000000"/>
                <w:sz w:val="24"/>
              </w:rPr>
            </w:pPr>
            <w:r>
              <w:rPr>
                <w:rFonts w:hint="eastAsia" w:ascii="仿宋" w:hAnsi="仿宋" w:eastAsia="仿宋" w:cs="宋体"/>
                <w:color w:val="000000"/>
                <w:sz w:val="24"/>
              </w:rPr>
              <w:t>实缴注册资本/实缴出资总额</w:t>
            </w:r>
          </w:p>
        </w:tc>
        <w:tc>
          <w:tcPr>
            <w:tcW w:w="2038" w:type="dxa"/>
            <w:tcBorders>
              <w:left w:val="single" w:color="auto" w:sz="6" w:space="0"/>
            </w:tcBorders>
            <w:vAlign w:val="center"/>
          </w:tcPr>
          <w:p>
            <w:pPr>
              <w:keepNext w:val="0"/>
              <w:keepLines w:val="0"/>
              <w:pageBreakBefore w:val="0"/>
              <w:kinsoku/>
              <w:wordWrap w:val="0"/>
              <w:overflowPunct/>
              <w:topLinePunct w:val="0"/>
              <w:autoSpaceDE/>
              <w:autoSpaceDN/>
              <w:bidi w:val="0"/>
              <w:spacing w:line="240" w:lineRule="atLeast"/>
              <w:ind w:firstLine="960" w:firstLineChars="400"/>
              <w:jc w:val="right"/>
              <w:textAlignment w:val="auto"/>
              <w:rPr>
                <w:rFonts w:ascii="仿宋" w:hAnsi="仿宋" w:eastAsia="仿宋" w:cs="宋体"/>
                <w:sz w:val="24"/>
              </w:rPr>
            </w:pPr>
            <w:r>
              <w:rPr>
                <w:rFonts w:hint="eastAsia" w:ascii="仿宋" w:hAnsi="仿宋" w:eastAsia="仿宋" w:cs="宋体"/>
                <w:sz w:val="24"/>
              </w:rPr>
              <w:t>万元</w:t>
            </w:r>
          </w:p>
        </w:tc>
      </w:tr>
    </w:tbl>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eastAsia="黑体" w:cs="仿宋_GB2312"/>
          <w:sz w:val="32"/>
          <w:szCs w:val="32"/>
        </w:rPr>
      </w:pPr>
      <w:r>
        <w:rPr>
          <w:rFonts w:hint="eastAsia" w:eastAsia="黑体" w:cs="仿宋_GB2312"/>
          <w:sz w:val="32"/>
          <w:szCs w:val="32"/>
        </w:rPr>
        <w:br w:type="page"/>
      </w:r>
    </w:p>
    <w:p>
      <w:pPr>
        <w:keepNext w:val="0"/>
        <w:keepLines w:val="0"/>
        <w:pageBreakBefore w:val="0"/>
        <w:widowControl w:val="0"/>
        <w:kinsoku/>
        <w:wordWrap/>
        <w:overflowPunct/>
        <w:topLinePunct w:val="0"/>
        <w:autoSpaceDE/>
        <w:autoSpaceDN/>
        <w:bidi w:val="0"/>
        <w:adjustRightInd/>
        <w:snapToGrid w:val="0"/>
        <w:spacing w:line="240" w:lineRule="atLeast"/>
        <w:textAlignment w:val="auto"/>
        <w:outlineLvl w:val="0"/>
        <w:rPr>
          <w:rFonts w:eastAsia="仿宋_GB2312"/>
          <w:sz w:val="32"/>
          <w:szCs w:val="32"/>
        </w:rPr>
      </w:pPr>
      <w:r>
        <w:rPr>
          <w:rFonts w:hint="eastAsia" w:ascii="仿宋_GB2312" w:hAnsi="仿宋_GB2312" w:eastAsia="仿宋_GB2312" w:cs="仿宋_GB2312"/>
          <w:sz w:val="32"/>
          <w:szCs w:val="32"/>
        </w:rPr>
        <w:t xml:space="preserve">附件4  </w:t>
      </w:r>
      <w:r>
        <w:rPr>
          <w:rFonts w:hint="eastAsia" w:eastAsia="仿宋_GB2312" w:cs="仿宋_GB2312"/>
          <w:color w:val="FFFFFF"/>
          <w:sz w:val="32"/>
          <w:szCs w:val="32"/>
        </w:rPr>
        <w:t xml:space="preserve">    </w:t>
      </w:r>
      <w:bookmarkEnd w:id="2"/>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绿色鄂尔多斯发展基金</w:t>
      </w: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设立方案</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outlineLvl w:val="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outlineLvl w:val="0"/>
        <w:rPr>
          <w:rFonts w:hint="default"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设立背景和目标</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二、基金</w:t>
      </w:r>
      <w:r>
        <w:rPr>
          <w:rFonts w:hint="eastAsia" w:ascii="黑体" w:hAnsi="黑体" w:eastAsia="黑体" w:cs="黑体"/>
          <w:sz w:val="32"/>
          <w:szCs w:val="32"/>
          <w:lang w:val="en-US" w:eastAsia="zh-CN"/>
        </w:rPr>
        <w:t>基本</w:t>
      </w:r>
      <w:r>
        <w:rPr>
          <w:rFonts w:hint="eastAsia" w:ascii="黑体" w:hAnsi="黑体" w:eastAsia="黑体" w:cs="黑体"/>
          <w:sz w:val="32"/>
          <w:szCs w:val="32"/>
        </w:rPr>
        <w:t>情况</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（一）基金名称</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（二）基金注册地址</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）基金规模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应明确基金管理机构及普通合伙人出资金额</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）基金组织形式</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）基金存续期限</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）基金托管银行意向情况</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基金管理机构</w:t>
      </w:r>
      <w:r>
        <w:rPr>
          <w:rFonts w:hint="eastAsia" w:ascii="黑体" w:hAnsi="黑体" w:eastAsia="黑体" w:cs="黑体"/>
          <w:sz w:val="32"/>
          <w:szCs w:val="32"/>
        </w:rPr>
        <w:t>情况</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（一）基金管理机构基本情况</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二</w:t>
      </w:r>
      <w:r>
        <w:rPr>
          <w:rFonts w:hint="eastAsia" w:ascii="仿宋" w:hAnsi="仿宋" w:eastAsia="仿宋"/>
          <w:sz w:val="32"/>
          <w:szCs w:val="32"/>
        </w:rPr>
        <w:t>）</w:t>
      </w:r>
      <w:r>
        <w:rPr>
          <w:rFonts w:hint="eastAsia" w:ascii="仿宋" w:hAnsi="仿宋" w:eastAsia="仿宋"/>
          <w:sz w:val="32"/>
          <w:szCs w:val="32"/>
          <w:lang w:eastAsia="zh-CN"/>
        </w:rPr>
        <w:t>基金管理机构</w:t>
      </w:r>
      <w:r>
        <w:rPr>
          <w:rFonts w:hint="eastAsia" w:ascii="仿宋" w:hAnsi="仿宋" w:eastAsia="仿宋"/>
          <w:sz w:val="32"/>
          <w:szCs w:val="32"/>
        </w:rPr>
        <w:t>股权结构</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）基金管理机构</w:t>
      </w:r>
      <w:r>
        <w:rPr>
          <w:rFonts w:hint="eastAsia" w:ascii="仿宋" w:hAnsi="仿宋" w:eastAsia="仿宋"/>
          <w:sz w:val="32"/>
          <w:szCs w:val="32"/>
        </w:rPr>
        <w:t>接受政府引导基金的尽职调查</w:t>
      </w:r>
      <w:r>
        <w:rPr>
          <w:rFonts w:hint="eastAsia" w:ascii="仿宋" w:hAnsi="仿宋" w:eastAsia="仿宋"/>
          <w:sz w:val="32"/>
          <w:szCs w:val="32"/>
          <w:lang w:val="en-US" w:eastAsia="zh-CN"/>
        </w:rPr>
        <w:t>和</w:t>
      </w:r>
      <w:r>
        <w:rPr>
          <w:rFonts w:hint="eastAsia" w:ascii="仿宋" w:hAnsi="仿宋" w:eastAsia="仿宋"/>
          <w:sz w:val="32"/>
          <w:szCs w:val="32"/>
        </w:rPr>
        <w:t>出资</w:t>
      </w:r>
      <w:r>
        <w:rPr>
          <w:rFonts w:hint="eastAsia" w:ascii="仿宋" w:hAnsi="仿宋" w:eastAsia="仿宋"/>
          <w:sz w:val="32"/>
          <w:szCs w:val="32"/>
          <w:lang w:val="en-US" w:eastAsia="zh-CN"/>
        </w:rPr>
        <w:t>情况</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sz w:val="32"/>
          <w:szCs w:val="32"/>
        </w:rPr>
      </w:pPr>
      <w:r>
        <w:rPr>
          <w:rFonts w:hint="eastAsia" w:ascii="仿宋" w:hAnsi="仿宋" w:eastAsia="仿宋"/>
          <w:sz w:val="32"/>
          <w:szCs w:val="32"/>
          <w:lang w:val="en-US" w:eastAsia="zh-CN"/>
        </w:rPr>
        <w:t>（四</w:t>
      </w:r>
      <w:r>
        <w:rPr>
          <w:rFonts w:hint="eastAsia" w:ascii="仿宋" w:hAnsi="仿宋" w:eastAsia="仿宋"/>
          <w:sz w:val="32"/>
          <w:szCs w:val="32"/>
        </w:rPr>
        <w:t>）</w:t>
      </w:r>
      <w:r>
        <w:rPr>
          <w:rFonts w:hint="eastAsia" w:ascii="仿宋" w:hAnsi="仿宋" w:eastAsia="仿宋"/>
          <w:sz w:val="32"/>
          <w:szCs w:val="32"/>
          <w:lang w:eastAsia="zh-CN"/>
        </w:rPr>
        <w:t>基金管理机构</w:t>
      </w:r>
      <w:r>
        <w:rPr>
          <w:rFonts w:hint="eastAsia" w:ascii="仿宋" w:hAnsi="仿宋" w:eastAsia="仿宋"/>
          <w:sz w:val="32"/>
          <w:szCs w:val="32"/>
        </w:rPr>
        <w:t>组织架构</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五</w:t>
      </w:r>
      <w:r>
        <w:rPr>
          <w:rFonts w:hint="eastAsia" w:ascii="仿宋" w:hAnsi="仿宋" w:eastAsia="仿宋"/>
          <w:sz w:val="32"/>
          <w:szCs w:val="32"/>
        </w:rPr>
        <w:t>）基金管理团队简历（需明确常驻鄂尔多斯人员情况，附表</w:t>
      </w:r>
      <w:r>
        <w:rPr>
          <w:rFonts w:hint="eastAsia" w:ascii="仿宋" w:hAnsi="仿宋" w:eastAsia="仿宋"/>
          <w:sz w:val="32"/>
          <w:szCs w:val="32"/>
          <w:lang w:val="en-US" w:eastAsia="zh-CN"/>
        </w:rPr>
        <w:t>2</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六</w:t>
      </w:r>
      <w:r>
        <w:rPr>
          <w:rFonts w:hint="eastAsia" w:ascii="仿宋" w:hAnsi="仿宋" w:eastAsia="仿宋"/>
          <w:sz w:val="32"/>
          <w:szCs w:val="32"/>
        </w:rPr>
        <w:t>）基金管理团队历史投资业绩（附表</w:t>
      </w:r>
      <w:r>
        <w:rPr>
          <w:rFonts w:hint="eastAsia" w:ascii="仿宋" w:hAnsi="仿宋" w:eastAsia="仿宋"/>
          <w:sz w:val="32"/>
          <w:szCs w:val="32"/>
          <w:lang w:val="en-US" w:eastAsia="zh-CN"/>
        </w:rPr>
        <w:t>3</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、基金投资</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cs="仿宋"/>
          <w:sz w:val="32"/>
          <w:szCs w:val="32"/>
        </w:rPr>
        <w:t>（一）基金投资领域</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cs="仿宋"/>
          <w:sz w:val="32"/>
          <w:szCs w:val="32"/>
        </w:rPr>
        <w:t>（二）基金投资计划（</w:t>
      </w:r>
      <w:r>
        <w:rPr>
          <w:rFonts w:hint="eastAsia" w:ascii="仿宋" w:hAnsi="仿宋" w:eastAsia="仿宋" w:cs="仿宋"/>
          <w:sz w:val="32"/>
          <w:szCs w:val="32"/>
          <w:lang w:val="en-US" w:eastAsia="zh-CN"/>
        </w:rPr>
        <w:t>基金管理团队</w:t>
      </w:r>
      <w:r>
        <w:rPr>
          <w:rFonts w:hint="eastAsia" w:ascii="仿宋" w:hAnsi="仿宋" w:eastAsia="仿宋" w:cs="仿宋"/>
          <w:sz w:val="32"/>
          <w:szCs w:val="32"/>
        </w:rPr>
        <w:t>是否跟投）</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（三）拟投项目情况</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基金投资策略</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投资决策机制</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项目遴选标准</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基金投资限制说明</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项目投后管理策略及增值服务</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九</w:t>
      </w:r>
      <w:r>
        <w:rPr>
          <w:rFonts w:hint="eastAsia" w:ascii="仿宋" w:hAnsi="仿宋" w:eastAsia="仿宋" w:cs="仿宋"/>
          <w:sz w:val="32"/>
          <w:szCs w:val="32"/>
          <w:lang w:eastAsia="zh-CN"/>
        </w:rPr>
        <w:t>）</w:t>
      </w:r>
      <w:r>
        <w:rPr>
          <w:rFonts w:hint="eastAsia" w:ascii="仿宋" w:hAnsi="仿宋" w:eastAsia="仿宋" w:cs="仿宋"/>
          <w:sz w:val="32"/>
          <w:szCs w:val="32"/>
        </w:rPr>
        <w:t>投资退出渠道及退出机制</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w:t>
      </w:r>
      <w:r>
        <w:rPr>
          <w:rFonts w:hint="eastAsia" w:ascii="仿宋" w:hAnsi="仿宋" w:eastAsia="仿宋" w:cs="仿宋"/>
          <w:sz w:val="32"/>
          <w:szCs w:val="32"/>
          <w:lang w:eastAsia="zh-CN"/>
        </w:rPr>
        <w:t>）</w:t>
      </w:r>
      <w:r>
        <w:rPr>
          <w:rFonts w:hint="eastAsia" w:ascii="仿宋" w:hAnsi="仿宋" w:eastAsia="仿宋" w:cs="仿宋"/>
          <w:sz w:val="32"/>
          <w:szCs w:val="32"/>
        </w:rPr>
        <w:t>基金潜在同业竞争的情况说明</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、费用</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cs="仿宋"/>
          <w:sz w:val="32"/>
          <w:szCs w:val="32"/>
        </w:rPr>
        <w:t>（一）基金承担费用</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基金管理机构</w:t>
      </w:r>
      <w:r>
        <w:rPr>
          <w:rFonts w:hint="eastAsia" w:ascii="仿宋" w:hAnsi="仿宋" w:eastAsia="仿宋" w:cs="仿宋"/>
          <w:sz w:val="32"/>
          <w:szCs w:val="32"/>
        </w:rPr>
        <w:t>承担费用</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cs="仿宋"/>
          <w:sz w:val="32"/>
          <w:szCs w:val="32"/>
        </w:rPr>
        <w:t>（三）基金管理费计提方法</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、基金收益分配与清算</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cs="仿宋"/>
          <w:sz w:val="32"/>
          <w:szCs w:val="32"/>
        </w:rPr>
        <w:t>（一）收益分配机制</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cs="仿宋"/>
          <w:sz w:val="32"/>
          <w:szCs w:val="32"/>
        </w:rPr>
        <w:t>（二）基金解散条件</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ascii="仿宋" w:hAnsi="仿宋" w:eastAsia="仿宋" w:cs="仿宋"/>
          <w:sz w:val="32"/>
          <w:szCs w:val="32"/>
        </w:rPr>
      </w:pPr>
      <w:r>
        <w:rPr>
          <w:rFonts w:hint="eastAsia" w:ascii="仿宋" w:hAnsi="仿宋" w:eastAsia="仿宋" w:cs="仿宋"/>
          <w:sz w:val="32"/>
          <w:szCs w:val="32"/>
        </w:rPr>
        <w:t>（三）基金清算原则及程序</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、基金管理</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（一）基金股东会/合伙人大会、董事会权责划分</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基金管理机构</w:t>
      </w:r>
      <w:r>
        <w:rPr>
          <w:rFonts w:hint="eastAsia" w:ascii="仿宋" w:hAnsi="仿宋" w:eastAsia="仿宋" w:cs="仿宋"/>
          <w:sz w:val="32"/>
          <w:szCs w:val="32"/>
        </w:rPr>
        <w:t>股东会、董事会权责划分</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（三）基金投资决策委员会权责划分及议事规则</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（四）基金风险防控制度</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（五）基金关联交易表决机制</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（六）基金拟实行的会计核算与财务管理制度</w:t>
      </w:r>
    </w:p>
    <w:p>
      <w:pPr>
        <w:snapToGrid w:val="0"/>
        <w:spacing w:line="360" w:lineRule="auto"/>
        <w:ind w:firstLine="640" w:firstLineChars="200"/>
        <w:outlineLvl w:val="0"/>
        <w:rPr>
          <w:rFonts w:hint="eastAsia" w:eastAsia="黑体" w:cs="仿宋_GB2312"/>
          <w:color w:val="000000"/>
          <w:sz w:val="32"/>
          <w:szCs w:val="32"/>
        </w:rPr>
      </w:pPr>
      <w:r>
        <w:rPr>
          <w:rFonts w:hint="eastAsia" w:ascii="仿宋" w:hAnsi="仿宋" w:eastAsia="仿宋" w:cs="仿宋"/>
          <w:sz w:val="32"/>
          <w:szCs w:val="32"/>
        </w:rPr>
        <w:t>（七）基金止损机制</w:t>
      </w:r>
      <w:bookmarkStart w:id="3" w:name="_Toc474316823"/>
      <w:r>
        <w:rPr>
          <w:rFonts w:hint="eastAsia" w:eastAsia="黑体" w:cs="仿宋_GB2312"/>
          <w:color w:val="000000"/>
          <w:sz w:val="32"/>
          <w:szCs w:val="32"/>
        </w:rPr>
        <w:br w:type="page"/>
      </w:r>
    </w:p>
    <w:p>
      <w:pPr>
        <w:snapToGrid w:val="0"/>
        <w:spacing w:line="360" w:lineRule="auto"/>
        <w:outlineLvl w:val="0"/>
        <w:rPr>
          <w:rFonts w:eastAsia="仿宋_GB2312"/>
          <w:color w:val="FFFFFF"/>
          <w:sz w:val="32"/>
          <w:szCs w:val="32"/>
        </w:rPr>
      </w:pPr>
      <w:r>
        <w:rPr>
          <w:rFonts w:hint="eastAsia" w:ascii="仿宋_GB2312" w:hAnsi="仿宋_GB2312" w:eastAsia="仿宋_GB2312" w:cs="仿宋_GB2312"/>
          <w:sz w:val="32"/>
          <w:szCs w:val="32"/>
        </w:rPr>
        <w:t xml:space="preserve">附件5 </w:t>
      </w:r>
      <w:r>
        <w:rPr>
          <w:rFonts w:hint="eastAsia" w:eastAsia="仿宋_GB2312" w:cs="仿宋_GB2312"/>
          <w:color w:val="000000"/>
          <w:sz w:val="32"/>
          <w:szCs w:val="32"/>
        </w:rPr>
        <w:t xml:space="preserve"> </w:t>
      </w:r>
      <w:bookmarkEnd w:id="3"/>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eastAsia="方正小标宋简体" w:cs="宋体"/>
          <w:bCs/>
          <w:color w:val="000000"/>
          <w:sz w:val="44"/>
          <w:szCs w:val="44"/>
        </w:rPr>
      </w:pPr>
      <w:r>
        <w:rPr>
          <w:rFonts w:hint="eastAsia" w:ascii="方正小标宋简体" w:hAnsi="方正小标宋简体" w:eastAsia="方正小标宋简体" w:cs="方正小标宋简体"/>
          <w:spacing w:val="10"/>
          <w:sz w:val="44"/>
          <w:szCs w:val="44"/>
        </w:rPr>
        <w:t>绿色鄂尔多斯发展基金</w:t>
      </w:r>
    </w:p>
    <w:p>
      <w:pPr>
        <w:autoSpaceDN w:val="0"/>
        <w:spacing w:after="240" w:afterLines="100"/>
        <w:jc w:val="center"/>
        <w:rPr>
          <w:rFonts w:eastAsia="方正小标宋简体" w:cs="宋体"/>
          <w:bCs/>
          <w:color w:val="000000"/>
          <w:sz w:val="44"/>
          <w:szCs w:val="44"/>
        </w:rPr>
      </w:pPr>
      <w:r>
        <w:rPr>
          <w:rFonts w:hint="eastAsia" w:eastAsia="方正小标宋简体" w:cs="宋体"/>
          <w:bCs/>
          <w:color w:val="000000"/>
          <w:sz w:val="44"/>
          <w:szCs w:val="44"/>
        </w:rPr>
        <w:t>申请材料清单</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outlineLvl w:val="1"/>
        <w:rPr>
          <w:rFonts w:eastAsia="黑体"/>
          <w:bCs/>
          <w:color w:val="000000"/>
          <w:sz w:val="32"/>
          <w:szCs w:val="32"/>
        </w:rPr>
      </w:pPr>
      <w:bookmarkStart w:id="4" w:name="_Toc474316824"/>
      <w:r>
        <w:rPr>
          <w:rFonts w:hint="eastAsia" w:eastAsia="黑体" w:cs="黑体"/>
          <w:color w:val="000000"/>
          <w:sz w:val="32"/>
          <w:szCs w:val="32"/>
        </w:rPr>
        <w:t>一、</w:t>
      </w:r>
      <w:r>
        <w:rPr>
          <w:rFonts w:hint="eastAsia" w:eastAsia="黑体" w:cs="仿宋_GB2312"/>
          <w:bCs/>
          <w:color w:val="000000"/>
          <w:sz w:val="32"/>
          <w:szCs w:val="32"/>
          <w:lang w:eastAsia="zh-CN"/>
        </w:rPr>
        <w:t>基金管理机构</w:t>
      </w:r>
      <w:r>
        <w:rPr>
          <w:rFonts w:hint="eastAsia" w:eastAsia="黑体" w:cs="仿宋_GB2312"/>
          <w:bCs/>
          <w:color w:val="000000"/>
          <w:sz w:val="32"/>
          <w:szCs w:val="32"/>
        </w:rPr>
        <w:t>需提供材料</w:t>
      </w:r>
      <w:bookmarkEnd w:id="4"/>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eastAsia="仿宋_GB2312"/>
          <w:color w:val="000000"/>
          <w:sz w:val="32"/>
          <w:szCs w:val="32"/>
        </w:rPr>
      </w:pPr>
      <w:r>
        <w:rPr>
          <w:rFonts w:hint="eastAsia" w:eastAsia="仿宋_GB2312" w:cs="仿宋_GB2312"/>
          <w:color w:val="000000"/>
          <w:sz w:val="32"/>
          <w:szCs w:val="32"/>
          <w:lang w:eastAsia="zh-CN"/>
        </w:rPr>
        <w:t>基金管理机构</w:t>
      </w:r>
      <w:r>
        <w:rPr>
          <w:rFonts w:hint="eastAsia" w:eastAsia="仿宋_GB2312" w:cs="仿宋_GB2312"/>
          <w:color w:val="000000"/>
          <w:sz w:val="32"/>
          <w:szCs w:val="32"/>
        </w:rPr>
        <w:t>申请作为</w:t>
      </w:r>
      <w:r>
        <w:rPr>
          <w:rFonts w:hint="eastAsia" w:eastAsia="仿宋_GB2312" w:cs="仿宋_GB2312"/>
          <w:color w:val="000000"/>
          <w:sz w:val="32"/>
          <w:szCs w:val="32"/>
          <w:lang w:val="en-US" w:eastAsia="zh-CN"/>
        </w:rPr>
        <w:t>绿色鄂尔多斯发展基金管理机构</w:t>
      </w:r>
      <w:r>
        <w:rPr>
          <w:rFonts w:hint="eastAsia" w:eastAsia="仿宋_GB2312" w:cs="仿宋_GB2312"/>
          <w:color w:val="000000"/>
          <w:sz w:val="32"/>
          <w:szCs w:val="32"/>
        </w:rPr>
        <w:t>，需提供以下材料：</w:t>
      </w:r>
    </w:p>
    <w:p>
      <w:pPr>
        <w:keepNext w:val="0"/>
        <w:keepLines w:val="0"/>
        <w:pageBreakBefore w:val="0"/>
        <w:widowControl w:val="0"/>
        <w:numPr>
          <w:ilvl w:val="0"/>
          <w:numId w:val="2"/>
        </w:numPr>
        <w:kinsoku/>
        <w:wordWrap/>
        <w:overflowPunct/>
        <w:topLinePunct w:val="0"/>
        <w:autoSpaceDE/>
        <w:autoSpaceDN w:val="0"/>
        <w:bidi w:val="0"/>
        <w:adjustRightInd/>
        <w:spacing w:line="560" w:lineRule="exact"/>
        <w:ind w:firstLine="640" w:firstLineChars="200"/>
        <w:textAlignment w:val="auto"/>
        <w:rPr>
          <w:rFonts w:eastAsia="仿宋_GB2312"/>
          <w:color w:val="000000"/>
          <w:sz w:val="32"/>
          <w:szCs w:val="32"/>
        </w:rPr>
      </w:pPr>
      <w:r>
        <w:rPr>
          <w:rFonts w:hint="eastAsia" w:eastAsia="仿宋_GB2312" w:cs="仿宋_GB2312"/>
          <w:color w:val="000000"/>
          <w:sz w:val="32"/>
          <w:szCs w:val="32"/>
          <w:lang w:eastAsia="zh-CN"/>
        </w:rPr>
        <w:t>基金管理机构</w:t>
      </w:r>
      <w:r>
        <w:rPr>
          <w:rFonts w:hint="eastAsia" w:eastAsia="仿宋_GB2312" w:cs="仿宋_GB2312"/>
          <w:color w:val="000000"/>
          <w:sz w:val="32"/>
          <w:szCs w:val="32"/>
        </w:rPr>
        <w:t>历史沿革，股东出资情况，实缴资本证明文件，组织结构图，投资决策、风险控制、项目遴选机制、激励约束机制、关联交易等内部管理制度。</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eastAsia="仿宋_GB2312"/>
          <w:color w:val="000000"/>
          <w:sz w:val="32"/>
          <w:szCs w:val="32"/>
        </w:rPr>
      </w:pPr>
      <w:r>
        <w:rPr>
          <w:rFonts w:eastAsia="仿宋_GB2312" w:cs="仿宋_GB2312"/>
          <w:color w:val="000000"/>
          <w:sz w:val="32"/>
          <w:szCs w:val="32"/>
        </w:rPr>
        <w:t>2.</w:t>
      </w:r>
      <w:r>
        <w:rPr>
          <w:rFonts w:hint="eastAsia" w:eastAsia="仿宋_GB2312" w:cs="仿宋_GB2312"/>
          <w:color w:val="000000"/>
          <w:sz w:val="32"/>
          <w:szCs w:val="32"/>
          <w:lang w:val="en-US" w:eastAsia="zh-CN"/>
        </w:rPr>
        <w:t xml:space="preserve"> </w:t>
      </w:r>
      <w:r>
        <w:rPr>
          <w:rFonts w:hint="eastAsia" w:eastAsia="仿宋_GB2312" w:cs="仿宋_GB2312"/>
          <w:color w:val="000000"/>
          <w:sz w:val="32"/>
          <w:szCs w:val="32"/>
          <w:lang w:eastAsia="zh-CN"/>
        </w:rPr>
        <w:t>基金管理机构</w:t>
      </w:r>
      <w:r>
        <w:rPr>
          <w:rFonts w:hint="eastAsia" w:eastAsia="仿宋_GB2312" w:cs="仿宋_GB2312"/>
          <w:color w:val="000000"/>
          <w:sz w:val="32"/>
          <w:szCs w:val="32"/>
        </w:rPr>
        <w:t>营业执照副本复印件、公司章程或合伙协议、银行资信证明或企业信誉等级、完税证明、固定办公场所的证明文件（房产证、租赁合同等）、基金业协会管理机构登记、备案证明等。</w:t>
      </w:r>
      <w:r>
        <w:rPr>
          <w:rFonts w:eastAsia="仿宋_GB2312"/>
          <w:color w:val="000000"/>
          <w:sz w:val="32"/>
          <w:szCs w:val="32"/>
        </w:rPr>
        <w:t xml:space="preserve">   </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eastAsia="仿宋_GB2312"/>
          <w:color w:val="000000"/>
          <w:sz w:val="32"/>
          <w:szCs w:val="32"/>
        </w:rPr>
      </w:pPr>
      <w:r>
        <w:rPr>
          <w:rFonts w:eastAsia="仿宋_GB2312" w:cs="仿宋_GB2312"/>
          <w:color w:val="000000"/>
          <w:sz w:val="32"/>
          <w:szCs w:val="32"/>
        </w:rPr>
        <w:t>3.</w:t>
      </w:r>
      <w:r>
        <w:rPr>
          <w:rFonts w:hint="eastAsia" w:eastAsia="仿宋_GB2312" w:cs="仿宋_GB2312"/>
          <w:color w:val="000000"/>
          <w:sz w:val="32"/>
          <w:szCs w:val="32"/>
          <w:lang w:val="en-US" w:eastAsia="zh-CN"/>
        </w:rPr>
        <w:t xml:space="preserve"> </w:t>
      </w:r>
      <w:r>
        <w:rPr>
          <w:rFonts w:hint="eastAsia" w:eastAsia="仿宋_GB2312" w:cs="仿宋_GB2312"/>
          <w:color w:val="000000"/>
          <w:sz w:val="32"/>
          <w:szCs w:val="32"/>
          <w:lang w:eastAsia="zh-CN"/>
        </w:rPr>
        <w:t>基金管理机构</w:t>
      </w:r>
      <w:r>
        <w:rPr>
          <w:rFonts w:hint="eastAsia" w:eastAsia="仿宋_GB2312" w:cs="仿宋_GB2312"/>
          <w:color w:val="000000"/>
          <w:sz w:val="32"/>
          <w:szCs w:val="32"/>
        </w:rPr>
        <w:t>主要投资业绩（见表</w:t>
      </w:r>
      <w:r>
        <w:rPr>
          <w:rFonts w:eastAsia="仿宋_GB2312" w:cs="仿宋_GB2312"/>
          <w:color w:val="000000"/>
          <w:sz w:val="32"/>
          <w:szCs w:val="32"/>
        </w:rPr>
        <w:t>1</w:t>
      </w:r>
      <w:r>
        <w:rPr>
          <w:rFonts w:hint="eastAsia" w:eastAsia="仿宋_GB2312" w:cs="仿宋_GB2312"/>
          <w:color w:val="000000"/>
          <w:sz w:val="32"/>
          <w:szCs w:val="32"/>
        </w:rPr>
        <w:t>）及已管理的基金规模及基金业绩（见表</w:t>
      </w:r>
      <w:r>
        <w:rPr>
          <w:rFonts w:eastAsia="仿宋_GB2312" w:cs="仿宋_GB2312"/>
          <w:color w:val="000000"/>
          <w:sz w:val="32"/>
          <w:szCs w:val="32"/>
        </w:rPr>
        <w:t>1</w:t>
      </w:r>
      <w:r>
        <w:rPr>
          <w:rFonts w:hint="eastAsia" w:eastAsia="仿宋_GB2312" w:cs="仿宋_GB2312"/>
          <w:color w:val="000000"/>
          <w:sz w:val="32"/>
          <w:szCs w:val="32"/>
        </w:rPr>
        <w:t>—</w:t>
      </w:r>
      <w:r>
        <w:rPr>
          <w:rFonts w:eastAsia="仿宋_GB2312" w:cs="仿宋_GB2312"/>
          <w:color w:val="000000"/>
          <w:sz w:val="32"/>
          <w:szCs w:val="32"/>
        </w:rPr>
        <w:t>1</w:t>
      </w:r>
      <w:r>
        <w:rPr>
          <w:rFonts w:hint="eastAsia" w:eastAsia="仿宋_GB2312" w:cs="仿宋_GB2312"/>
          <w:color w:val="000000"/>
          <w:sz w:val="32"/>
          <w:szCs w:val="32"/>
        </w:rPr>
        <w:t>）。</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eastAsia="仿宋_GB2312"/>
          <w:color w:val="000000"/>
          <w:sz w:val="32"/>
          <w:szCs w:val="32"/>
        </w:rPr>
      </w:pPr>
      <w:r>
        <w:rPr>
          <w:rFonts w:eastAsia="仿宋_GB2312" w:cs="仿宋_GB2312"/>
          <w:color w:val="000000"/>
          <w:sz w:val="32"/>
          <w:szCs w:val="32"/>
        </w:rPr>
        <w:t>4.</w:t>
      </w:r>
      <w:r>
        <w:rPr>
          <w:rFonts w:hint="eastAsia" w:eastAsia="仿宋_GB2312" w:cs="仿宋_GB2312"/>
          <w:color w:val="000000"/>
          <w:sz w:val="32"/>
          <w:szCs w:val="32"/>
          <w:lang w:val="en-US" w:eastAsia="zh-CN"/>
        </w:rPr>
        <w:t xml:space="preserve"> </w:t>
      </w:r>
      <w:r>
        <w:rPr>
          <w:rFonts w:hint="eastAsia" w:eastAsia="仿宋_GB2312" w:cs="仿宋_GB2312"/>
          <w:color w:val="000000"/>
          <w:sz w:val="32"/>
          <w:szCs w:val="32"/>
          <w:lang w:eastAsia="zh-CN"/>
        </w:rPr>
        <w:t>基金管理机构</w:t>
      </w:r>
      <w:r>
        <w:rPr>
          <w:rFonts w:hint="eastAsia" w:eastAsia="仿宋_GB2312" w:cs="仿宋_GB2312"/>
          <w:color w:val="000000"/>
          <w:sz w:val="32"/>
          <w:szCs w:val="32"/>
        </w:rPr>
        <w:t>近三年审计报告及近三个月财务报表（股权</w:t>
      </w:r>
      <w:r>
        <w:rPr>
          <w:rFonts w:hint="eastAsia" w:eastAsia="仿宋_GB2312" w:cs="仿宋_GB2312"/>
          <w:color w:val="000000"/>
          <w:sz w:val="32"/>
          <w:szCs w:val="32"/>
          <w:lang w:eastAsia="zh-CN"/>
        </w:rPr>
        <w:t>基金管理机构</w:t>
      </w:r>
      <w:r>
        <w:rPr>
          <w:rFonts w:hint="eastAsia" w:eastAsia="仿宋_GB2312" w:cs="仿宋_GB2312"/>
          <w:color w:val="000000"/>
          <w:sz w:val="32"/>
          <w:szCs w:val="32"/>
        </w:rPr>
        <w:t>成立未满三年的，提供自成立之日起的审计报告和近三个月财务报表）。</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eastAsia="仿宋_GB2312"/>
          <w:color w:val="000000"/>
          <w:sz w:val="32"/>
          <w:szCs w:val="32"/>
        </w:rPr>
      </w:pPr>
      <w:r>
        <w:rPr>
          <w:rFonts w:eastAsia="仿宋_GB2312" w:cs="仿宋_GB2312"/>
          <w:color w:val="000000"/>
          <w:sz w:val="32"/>
          <w:szCs w:val="32"/>
        </w:rPr>
        <w:t>5.</w:t>
      </w:r>
      <w:r>
        <w:rPr>
          <w:rFonts w:hint="eastAsia" w:eastAsia="仿宋_GB2312" w:cs="仿宋_GB2312"/>
          <w:color w:val="000000"/>
          <w:sz w:val="32"/>
          <w:szCs w:val="32"/>
          <w:lang w:val="en-US" w:eastAsia="zh-CN"/>
        </w:rPr>
        <w:t xml:space="preserve"> </w:t>
      </w:r>
      <w:r>
        <w:rPr>
          <w:rFonts w:hint="eastAsia" w:eastAsia="仿宋_GB2312" w:cs="仿宋_GB2312"/>
          <w:color w:val="000000"/>
          <w:sz w:val="32"/>
          <w:szCs w:val="32"/>
          <w:lang w:eastAsia="zh-CN"/>
        </w:rPr>
        <w:t>基金管理机构</w:t>
      </w:r>
      <w:r>
        <w:rPr>
          <w:rFonts w:hint="eastAsia" w:eastAsia="仿宋_GB2312" w:cs="仿宋_GB2312"/>
          <w:color w:val="000000"/>
          <w:sz w:val="32"/>
          <w:szCs w:val="32"/>
        </w:rPr>
        <w:t>有关诉讼、担保、其他或有风险事项说明及文件。</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eastAsia="仿宋_GB2312"/>
          <w:color w:val="000000"/>
          <w:sz w:val="32"/>
          <w:szCs w:val="32"/>
        </w:rPr>
      </w:pPr>
      <w:r>
        <w:rPr>
          <w:rFonts w:eastAsia="仿宋_GB2312" w:cs="仿宋_GB2312"/>
          <w:color w:val="000000"/>
          <w:sz w:val="32"/>
          <w:szCs w:val="32"/>
        </w:rPr>
        <w:t>6.</w:t>
      </w:r>
      <w:r>
        <w:rPr>
          <w:rFonts w:hint="eastAsia" w:eastAsia="仿宋_GB2312" w:cs="仿宋_GB2312"/>
          <w:color w:val="000000"/>
          <w:sz w:val="32"/>
          <w:szCs w:val="32"/>
          <w:lang w:val="en-US" w:eastAsia="zh-CN"/>
        </w:rPr>
        <w:t xml:space="preserve"> </w:t>
      </w:r>
      <w:r>
        <w:rPr>
          <w:rFonts w:hint="eastAsia" w:eastAsia="仿宋_GB2312" w:cs="仿宋_GB2312"/>
          <w:color w:val="000000"/>
          <w:sz w:val="32"/>
          <w:szCs w:val="32"/>
        </w:rPr>
        <w:t>最近五年内</w:t>
      </w:r>
      <w:r>
        <w:rPr>
          <w:rFonts w:hint="eastAsia" w:eastAsia="仿宋_GB2312" w:cs="仿宋_GB2312"/>
          <w:color w:val="000000"/>
          <w:sz w:val="32"/>
          <w:szCs w:val="32"/>
          <w:lang w:eastAsia="zh-CN"/>
        </w:rPr>
        <w:t>基金管理机构</w:t>
      </w:r>
      <w:r>
        <w:rPr>
          <w:rFonts w:hint="eastAsia" w:eastAsia="仿宋_GB2312" w:cs="仿宋_GB2312"/>
          <w:color w:val="000000"/>
          <w:sz w:val="32"/>
          <w:szCs w:val="32"/>
        </w:rPr>
        <w:t>及其工作人员无行政主管机关或司法机关处罚的不良记录的声明或承诺。</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eastAsia="仿宋_GB2312"/>
          <w:color w:val="000000"/>
          <w:sz w:val="32"/>
          <w:szCs w:val="32"/>
        </w:rPr>
      </w:pPr>
      <w:r>
        <w:rPr>
          <w:rFonts w:eastAsia="仿宋_GB2312" w:cs="仿宋_GB2312"/>
          <w:color w:val="000000"/>
          <w:sz w:val="32"/>
          <w:szCs w:val="32"/>
        </w:rPr>
        <w:t>7.</w:t>
      </w:r>
      <w:r>
        <w:rPr>
          <w:rFonts w:hint="eastAsia" w:eastAsia="仿宋_GB2312" w:cs="仿宋_GB2312"/>
          <w:color w:val="000000"/>
          <w:sz w:val="32"/>
          <w:szCs w:val="32"/>
          <w:lang w:val="en-US" w:eastAsia="zh-CN"/>
        </w:rPr>
        <w:t xml:space="preserve"> </w:t>
      </w:r>
      <w:r>
        <w:rPr>
          <w:rFonts w:hint="eastAsia" w:eastAsia="仿宋_GB2312" w:cs="仿宋_GB2312"/>
          <w:color w:val="000000"/>
          <w:sz w:val="32"/>
          <w:szCs w:val="32"/>
          <w:lang w:eastAsia="zh-CN"/>
        </w:rPr>
        <w:t>基金管理机构</w:t>
      </w:r>
      <w:r>
        <w:rPr>
          <w:rFonts w:hint="eastAsia" w:eastAsia="仿宋_GB2312" w:cs="仿宋_GB2312"/>
          <w:color w:val="000000"/>
          <w:sz w:val="32"/>
          <w:szCs w:val="32"/>
        </w:rPr>
        <w:t>管理团队基本情况</w:t>
      </w:r>
      <w:r>
        <w:rPr>
          <w:rFonts w:hint="eastAsia"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eastAsia="仿宋_GB2312"/>
          <w:color w:val="000000"/>
          <w:sz w:val="32"/>
          <w:szCs w:val="32"/>
        </w:rPr>
      </w:pPr>
      <w:r>
        <w:rPr>
          <w:rFonts w:hint="eastAsia" w:eastAsia="仿宋_GB2312" w:cs="仿宋_GB2312"/>
          <w:color w:val="000000"/>
          <w:sz w:val="32"/>
          <w:szCs w:val="32"/>
        </w:rPr>
        <w:t>（</w:t>
      </w:r>
      <w:r>
        <w:rPr>
          <w:rFonts w:eastAsia="仿宋_GB2312" w:cs="仿宋_GB2312"/>
          <w:color w:val="000000"/>
          <w:sz w:val="32"/>
          <w:szCs w:val="32"/>
        </w:rPr>
        <w:t>1</w:t>
      </w:r>
      <w:r>
        <w:rPr>
          <w:rFonts w:hint="eastAsia" w:eastAsia="仿宋_GB2312" w:cs="仿宋_GB2312"/>
          <w:color w:val="000000"/>
          <w:sz w:val="32"/>
          <w:szCs w:val="32"/>
        </w:rPr>
        <w:t>）管理团队核心成员简历（见表</w:t>
      </w:r>
      <w:r>
        <w:rPr>
          <w:rFonts w:eastAsia="仿宋_GB2312" w:cs="仿宋_GB2312"/>
          <w:color w:val="000000"/>
          <w:sz w:val="32"/>
          <w:szCs w:val="32"/>
        </w:rPr>
        <w:t>2</w:t>
      </w:r>
      <w:r>
        <w:rPr>
          <w:rFonts w:hint="eastAsia" w:eastAsia="仿宋_GB2312" w:cs="仿宋_GB2312"/>
          <w:color w:val="000000"/>
          <w:sz w:val="32"/>
          <w:szCs w:val="32"/>
        </w:rPr>
        <w:t>）</w:t>
      </w:r>
      <w:r>
        <w:rPr>
          <w:rFonts w:hint="eastAsia"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eastAsia="仿宋_GB2312"/>
          <w:color w:val="000000"/>
          <w:sz w:val="32"/>
          <w:szCs w:val="32"/>
        </w:rPr>
      </w:pPr>
      <w:r>
        <w:rPr>
          <w:rFonts w:hint="eastAsia" w:eastAsia="仿宋_GB2312" w:cs="仿宋_GB2312"/>
          <w:color w:val="000000"/>
          <w:sz w:val="32"/>
          <w:szCs w:val="32"/>
        </w:rPr>
        <w:t>（</w:t>
      </w:r>
      <w:r>
        <w:rPr>
          <w:rFonts w:eastAsia="仿宋_GB2312" w:cs="仿宋_GB2312"/>
          <w:color w:val="000000"/>
          <w:sz w:val="32"/>
          <w:szCs w:val="32"/>
        </w:rPr>
        <w:t>2</w:t>
      </w:r>
      <w:r>
        <w:rPr>
          <w:rFonts w:hint="eastAsia" w:eastAsia="仿宋_GB2312" w:cs="仿宋_GB2312"/>
          <w:color w:val="000000"/>
          <w:sz w:val="32"/>
          <w:szCs w:val="32"/>
        </w:rPr>
        <w:t>）管理团队主要投资业绩（见表</w:t>
      </w:r>
      <w:r>
        <w:rPr>
          <w:rFonts w:eastAsia="仿宋_GB2312" w:cs="仿宋_GB2312"/>
          <w:color w:val="000000"/>
          <w:sz w:val="32"/>
          <w:szCs w:val="32"/>
        </w:rPr>
        <w:t>3</w:t>
      </w:r>
      <w:r>
        <w:rPr>
          <w:rFonts w:hint="eastAsia" w:eastAsia="仿宋_GB2312" w:cs="仿宋_GB2312"/>
          <w:color w:val="000000"/>
          <w:sz w:val="32"/>
          <w:szCs w:val="32"/>
        </w:rPr>
        <w:t>）</w:t>
      </w:r>
      <w:r>
        <w:rPr>
          <w:rFonts w:hint="eastAsia"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val="0"/>
        <w:bidi w:val="0"/>
        <w:adjustRightInd/>
        <w:spacing w:line="560" w:lineRule="exact"/>
        <w:ind w:left="638" w:leftChars="304" w:firstLine="0" w:firstLineChars="0"/>
        <w:textAlignment w:val="auto"/>
        <w:rPr>
          <w:rFonts w:hint="eastAsia" w:eastAsia="仿宋_GB2312" w:cs="仿宋_GB2312"/>
          <w:color w:val="000000"/>
          <w:sz w:val="32"/>
          <w:szCs w:val="32"/>
        </w:rPr>
      </w:pPr>
      <w:r>
        <w:rPr>
          <w:rFonts w:hint="eastAsia" w:eastAsia="仿宋_GB2312" w:cs="仿宋_GB2312"/>
          <w:color w:val="000000"/>
          <w:sz w:val="32"/>
          <w:szCs w:val="32"/>
        </w:rPr>
        <w:t>（3）管理团队及成员作为牵头投资人的投资项目案例介绍</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hint="eastAsia" w:ascii="Times New Roman" w:hAnsi="Times New Roman" w:eastAsia="仿宋_GB2312" w:cs="仿宋_GB2312"/>
          <w:color w:val="000000"/>
          <w:sz w:val="32"/>
          <w:szCs w:val="32"/>
          <w:lang w:eastAsia="zh-CN"/>
        </w:rPr>
      </w:pPr>
      <w:r>
        <w:rPr>
          <w:rFonts w:hint="eastAsia" w:eastAsia="仿宋_GB2312" w:cs="仿宋_GB2312"/>
          <w:color w:val="000000"/>
          <w:sz w:val="32"/>
          <w:szCs w:val="32"/>
        </w:rPr>
        <w:t>（4）主要团队成员身份证、学历证书、资格证书复印件，任职证明，业绩及所获荣誉等</w:t>
      </w:r>
      <w:r>
        <w:rPr>
          <w:rFonts w:hint="eastAsia" w:ascii="Times New Roman" w:hAnsi="Times New Roman" w:eastAsia="仿宋_GB2312" w:cs="仿宋_GB2312"/>
          <w:color w:val="000000"/>
          <w:sz w:val="32"/>
          <w:szCs w:val="32"/>
        </w:rPr>
        <w:t>证明资料</w:t>
      </w:r>
      <w:r>
        <w:rPr>
          <w:rFonts w:hint="eastAsia" w:ascii="Times New Roman" w:hAnsi="Times New Roman"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hint="eastAsia"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8. </w:t>
      </w:r>
      <w:r>
        <w:rPr>
          <w:rFonts w:hint="eastAsia" w:ascii="Times New Roman" w:hAnsi="Times New Roman" w:eastAsia="仿宋_GB2312" w:cs="仿宋_GB2312"/>
          <w:color w:val="000000"/>
          <w:sz w:val="32"/>
          <w:szCs w:val="32"/>
        </w:rPr>
        <w:t>基金管理机构</w:t>
      </w:r>
      <w:r>
        <w:rPr>
          <w:rFonts w:hint="eastAsia" w:eastAsia="仿宋_GB2312" w:cs="仿宋_GB2312"/>
          <w:color w:val="000000"/>
          <w:sz w:val="32"/>
          <w:szCs w:val="32"/>
          <w:lang w:val="en-US" w:eastAsia="zh-CN"/>
        </w:rPr>
        <w:t>近一年的律师事务所</w:t>
      </w:r>
      <w:r>
        <w:rPr>
          <w:rFonts w:hint="eastAsia" w:ascii="Times New Roman" w:hAnsi="Times New Roman" w:eastAsia="仿宋_GB2312" w:cs="仿宋_GB2312"/>
          <w:color w:val="000000"/>
          <w:sz w:val="32"/>
          <w:szCs w:val="32"/>
        </w:rPr>
        <w:t>尽职调查</w:t>
      </w:r>
      <w:r>
        <w:rPr>
          <w:rFonts w:hint="eastAsia" w:eastAsia="仿宋_GB2312" w:cs="仿宋_GB2312"/>
          <w:color w:val="000000"/>
          <w:sz w:val="32"/>
          <w:szCs w:val="32"/>
          <w:lang w:val="en-US" w:eastAsia="zh-CN"/>
        </w:rPr>
        <w:t>报告原件及复印件一份。</w:t>
      </w:r>
    </w:p>
    <w:p>
      <w:pPr>
        <w:keepNext w:val="0"/>
        <w:keepLines w:val="0"/>
        <w:pageBreakBefore w:val="0"/>
        <w:widowControl w:val="0"/>
        <w:kinsoku/>
        <w:wordWrap/>
        <w:overflowPunct/>
        <w:topLinePunct w:val="0"/>
        <w:autoSpaceDE/>
        <w:autoSpaceDN w:val="0"/>
        <w:bidi w:val="0"/>
        <w:adjustRightInd/>
        <w:spacing w:line="560" w:lineRule="exact"/>
        <w:ind w:firstLine="627" w:firstLineChars="196"/>
        <w:textAlignment w:val="auto"/>
        <w:rPr>
          <w:rFonts w:hint="default" w:eastAsia="仿宋_GB2312" w:cs="仿宋_GB2312"/>
          <w:color w:val="000000"/>
          <w:sz w:val="32"/>
          <w:szCs w:val="32"/>
          <w:lang w:val="en-US" w:eastAsia="zh-CN"/>
        </w:rPr>
      </w:pPr>
      <w:r>
        <w:rPr>
          <w:rFonts w:hint="eastAsia" w:eastAsia="仿宋_GB2312" w:cs="仿宋_GB2312"/>
          <w:color w:val="000000"/>
          <w:sz w:val="32"/>
          <w:szCs w:val="32"/>
          <w:lang w:val="en-US" w:eastAsia="zh-CN"/>
        </w:rPr>
        <w:t xml:space="preserve">9. </w:t>
      </w:r>
      <w:r>
        <w:rPr>
          <w:rFonts w:hint="eastAsia" w:ascii="仿宋" w:hAnsi="仿宋" w:eastAsia="仿宋"/>
          <w:sz w:val="32"/>
          <w:szCs w:val="32"/>
          <w:lang w:eastAsia="zh-CN"/>
        </w:rPr>
        <w:t>基金管理机构</w:t>
      </w:r>
      <w:r>
        <w:rPr>
          <w:rFonts w:hint="eastAsia" w:ascii="仿宋" w:hAnsi="仿宋" w:eastAsia="仿宋"/>
          <w:sz w:val="32"/>
          <w:szCs w:val="32"/>
        </w:rPr>
        <w:t>接受政府引导基金的出资</w:t>
      </w:r>
      <w:r>
        <w:rPr>
          <w:rFonts w:hint="eastAsia" w:ascii="仿宋" w:hAnsi="仿宋" w:eastAsia="仿宋"/>
          <w:sz w:val="32"/>
          <w:szCs w:val="32"/>
          <w:lang w:val="en-US" w:eastAsia="zh-CN"/>
        </w:rPr>
        <w:t>佐证材料。</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outlineLvl w:val="1"/>
        <w:rPr>
          <w:rFonts w:hint="default" w:eastAsia="黑体"/>
          <w:bCs/>
          <w:color w:val="000000"/>
          <w:sz w:val="32"/>
          <w:szCs w:val="32"/>
          <w:lang w:val="en-US" w:eastAsia="zh-CN"/>
        </w:rPr>
      </w:pPr>
      <w:bookmarkStart w:id="5" w:name="_Toc474316825"/>
      <w:r>
        <w:rPr>
          <w:rFonts w:hint="eastAsia" w:eastAsia="黑体" w:cs="仿宋_GB2312"/>
          <w:bCs/>
          <w:color w:val="000000"/>
          <w:sz w:val="32"/>
          <w:szCs w:val="32"/>
        </w:rPr>
        <w:t>二、</w:t>
      </w:r>
      <w:bookmarkEnd w:id="5"/>
      <w:r>
        <w:rPr>
          <w:rFonts w:hint="eastAsia" w:eastAsia="黑体" w:cs="仿宋_GB2312"/>
          <w:bCs/>
          <w:color w:val="000000"/>
          <w:sz w:val="32"/>
          <w:szCs w:val="32"/>
          <w:lang w:val="en-US" w:eastAsia="zh-CN"/>
        </w:rPr>
        <w:t>协议草案</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eastAsia="仿宋_GB2312" w:cs="仿宋_GB2312"/>
          <w:color w:val="000000"/>
          <w:sz w:val="32"/>
          <w:szCs w:val="32"/>
        </w:rPr>
      </w:pPr>
      <w:r>
        <w:rPr>
          <w:rFonts w:hint="eastAsia" w:eastAsia="仿宋_GB2312" w:cs="仿宋_GB2312"/>
          <w:color w:val="000000"/>
          <w:sz w:val="32"/>
          <w:szCs w:val="32"/>
        </w:rPr>
        <w:t>除按上述规定的</w:t>
      </w:r>
      <w:r>
        <w:rPr>
          <w:rFonts w:hint="eastAsia" w:eastAsia="仿宋_GB2312" w:cs="仿宋_GB2312"/>
          <w:color w:val="000000"/>
          <w:sz w:val="32"/>
          <w:szCs w:val="32"/>
          <w:lang w:eastAsia="zh-CN"/>
        </w:rPr>
        <w:t>基金管理机构</w:t>
      </w:r>
      <w:r>
        <w:rPr>
          <w:rFonts w:hint="eastAsia" w:eastAsia="仿宋_GB2312" w:cs="仿宋_GB2312"/>
          <w:color w:val="000000"/>
          <w:sz w:val="32"/>
          <w:szCs w:val="32"/>
        </w:rPr>
        <w:t>需提供材料报送外，还需提供：</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eastAsia="仿宋_GB2312"/>
          <w:color w:val="000000"/>
          <w:sz w:val="32"/>
          <w:szCs w:val="32"/>
        </w:rPr>
      </w:pPr>
      <w:r>
        <w:rPr>
          <w:rFonts w:hint="eastAsia" w:eastAsia="仿宋_GB2312" w:cs="仿宋_GB2312"/>
          <w:color w:val="000000"/>
          <w:sz w:val="32"/>
          <w:szCs w:val="32"/>
        </w:rPr>
        <w:t>（一）</w:t>
      </w:r>
      <w:r>
        <w:rPr>
          <w:rFonts w:hint="eastAsia" w:eastAsia="仿宋_GB2312" w:cs="仿宋_GB2312"/>
          <w:color w:val="000000"/>
          <w:sz w:val="32"/>
          <w:szCs w:val="32"/>
          <w:lang w:val="en-US" w:eastAsia="zh-CN"/>
        </w:rPr>
        <w:t>绿色鄂尔多斯发展基金</w:t>
      </w:r>
      <w:r>
        <w:rPr>
          <w:rFonts w:hint="eastAsia" w:eastAsia="仿宋_GB2312" w:cs="仿宋_GB2312"/>
          <w:color w:val="000000"/>
          <w:sz w:val="32"/>
          <w:szCs w:val="32"/>
        </w:rPr>
        <w:t>章程或合伙协议（草案）</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eastAsia="仿宋_GB2312"/>
          <w:color w:val="000000"/>
          <w:sz w:val="32"/>
          <w:szCs w:val="32"/>
        </w:rPr>
      </w:pPr>
      <w:r>
        <w:rPr>
          <w:rFonts w:hint="eastAsia" w:eastAsia="仿宋_GB2312" w:cs="仿宋_GB2312"/>
          <w:color w:val="000000"/>
          <w:sz w:val="32"/>
          <w:szCs w:val="32"/>
        </w:rPr>
        <w:t>（二）</w:t>
      </w:r>
      <w:r>
        <w:rPr>
          <w:rFonts w:hint="eastAsia" w:eastAsia="仿宋_GB2312" w:cs="仿宋_GB2312"/>
          <w:color w:val="000000"/>
          <w:sz w:val="32"/>
          <w:szCs w:val="32"/>
          <w:lang w:val="en-US" w:eastAsia="zh-CN"/>
        </w:rPr>
        <w:t>绿色鄂尔多斯发展基金</w:t>
      </w:r>
      <w:r>
        <w:rPr>
          <w:rFonts w:hint="eastAsia" w:eastAsia="仿宋_GB2312" w:cs="仿宋_GB2312"/>
          <w:color w:val="000000"/>
          <w:sz w:val="32"/>
          <w:szCs w:val="32"/>
        </w:rPr>
        <w:t>委托管理协议（草案）</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eastAsia="仿宋_GB2312"/>
          <w:color w:val="000000"/>
          <w:sz w:val="32"/>
          <w:szCs w:val="32"/>
        </w:rPr>
      </w:pPr>
      <w:r>
        <w:rPr>
          <w:rFonts w:hint="eastAsia" w:eastAsia="仿宋_GB2312" w:cs="仿宋_GB2312"/>
          <w:color w:val="000000"/>
          <w:sz w:val="32"/>
          <w:szCs w:val="32"/>
        </w:rPr>
        <w:t>（三）</w:t>
      </w:r>
      <w:r>
        <w:rPr>
          <w:rFonts w:hint="eastAsia" w:eastAsia="仿宋_GB2312" w:cs="仿宋_GB2312"/>
          <w:color w:val="000000"/>
          <w:sz w:val="32"/>
          <w:szCs w:val="32"/>
          <w:lang w:val="en-US" w:eastAsia="zh-CN"/>
        </w:rPr>
        <w:t>绿色鄂尔多斯发展基金</w:t>
      </w:r>
      <w:r>
        <w:rPr>
          <w:rFonts w:hint="eastAsia" w:eastAsia="仿宋_GB2312" w:cs="仿宋_GB2312"/>
          <w:color w:val="000000"/>
          <w:sz w:val="32"/>
          <w:szCs w:val="32"/>
        </w:rPr>
        <w:t>资金托管协议（草案）</w:t>
      </w:r>
    </w:p>
    <w:p>
      <w:pPr>
        <w:jc w:val="left"/>
        <w:rPr>
          <w:rFonts w:eastAsia="仿宋_GB2312"/>
          <w:color w:val="000000"/>
          <w:sz w:val="32"/>
          <w:szCs w:val="32"/>
        </w:rPr>
      </w:pPr>
    </w:p>
    <w:p>
      <w:pPr>
        <w:jc w:val="left"/>
        <w:rPr>
          <w:rFonts w:eastAsia="文星简仿宋"/>
          <w:sz w:val="32"/>
          <w:szCs w:val="32"/>
        </w:rPr>
        <w:sectPr>
          <w:headerReference r:id="rId3" w:type="default"/>
          <w:footerReference r:id="rId4" w:type="default"/>
          <w:pgSz w:w="11906" w:h="16838"/>
          <w:pgMar w:top="2098" w:right="1474" w:bottom="1984" w:left="1587" w:header="851" w:footer="992" w:gutter="0"/>
          <w:pgNumType w:fmt="numberInDash" w:start="1"/>
          <w:cols w:space="0" w:num="1"/>
          <w:rtlGutter w:val="0"/>
          <w:docGrid w:linePitch="312" w:charSpace="0"/>
        </w:sectPr>
      </w:pPr>
      <w:r>
        <w:rPr>
          <w:rFonts w:eastAsia="文星简仿宋" w:cs="文星简仿宋"/>
          <w:sz w:val="32"/>
          <w:szCs w:val="32"/>
        </w:rPr>
        <w:t xml:space="preserve">    </w:t>
      </w:r>
    </w:p>
    <w:p>
      <w:pPr>
        <w:snapToGrid w:val="0"/>
        <w:spacing w:line="360"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表1</w:t>
      </w:r>
    </w:p>
    <w:p>
      <w:pPr>
        <w:spacing w:after="240" w:afterLines="100"/>
        <w:jc w:val="center"/>
        <w:rPr>
          <w:rFonts w:eastAsia="方正小标宋简体"/>
          <w:sz w:val="44"/>
          <w:szCs w:val="44"/>
        </w:rPr>
      </w:pPr>
      <w:r>
        <w:rPr>
          <w:rFonts w:hint="eastAsia" w:eastAsia="方正小标宋简体" w:cs="文星简大标宋"/>
          <w:sz w:val="44"/>
          <w:szCs w:val="44"/>
          <w:lang w:eastAsia="zh-CN"/>
        </w:rPr>
        <w:t>基金管理机构</w:t>
      </w:r>
      <w:r>
        <w:rPr>
          <w:rFonts w:hint="eastAsia" w:eastAsia="方正小标宋简体" w:cs="文星简大标宋"/>
          <w:sz w:val="44"/>
          <w:szCs w:val="44"/>
        </w:rPr>
        <w:t>主要投资业绩</w:t>
      </w:r>
    </w:p>
    <w:tbl>
      <w:tblPr>
        <w:tblStyle w:val="12"/>
        <w:tblW w:w="14160" w:type="dxa"/>
        <w:jc w:val="center"/>
        <w:tblInd w:w="0" w:type="dxa"/>
        <w:tblLayout w:type="fixed"/>
        <w:tblCellMar>
          <w:top w:w="0" w:type="dxa"/>
          <w:left w:w="108" w:type="dxa"/>
          <w:bottom w:w="0" w:type="dxa"/>
          <w:right w:w="108" w:type="dxa"/>
        </w:tblCellMar>
      </w:tblPr>
      <w:tblGrid>
        <w:gridCol w:w="661"/>
        <w:gridCol w:w="735"/>
        <w:gridCol w:w="735"/>
        <w:gridCol w:w="735"/>
        <w:gridCol w:w="735"/>
        <w:gridCol w:w="735"/>
        <w:gridCol w:w="735"/>
        <w:gridCol w:w="735"/>
        <w:gridCol w:w="840"/>
        <w:gridCol w:w="1260"/>
        <w:gridCol w:w="1260"/>
        <w:gridCol w:w="1021"/>
        <w:gridCol w:w="700"/>
        <w:gridCol w:w="1080"/>
        <w:gridCol w:w="874"/>
        <w:gridCol w:w="1319"/>
      </w:tblGrid>
      <w:tr>
        <w:tblPrEx>
          <w:tblLayout w:type="fixed"/>
          <w:tblCellMar>
            <w:top w:w="0" w:type="dxa"/>
            <w:left w:w="108" w:type="dxa"/>
            <w:bottom w:w="0" w:type="dxa"/>
            <w:right w:w="108" w:type="dxa"/>
          </w:tblCellMar>
        </w:tblPrEx>
        <w:trPr>
          <w:trHeight w:val="992"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序号</w:t>
            </w:r>
          </w:p>
        </w:tc>
        <w:tc>
          <w:tcPr>
            <w:tcW w:w="73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项目 名称</w:t>
            </w:r>
          </w:p>
        </w:tc>
        <w:tc>
          <w:tcPr>
            <w:tcW w:w="73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行业</w:t>
            </w:r>
          </w:p>
        </w:tc>
        <w:tc>
          <w:tcPr>
            <w:tcW w:w="73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投资时间</w:t>
            </w:r>
          </w:p>
        </w:tc>
        <w:tc>
          <w:tcPr>
            <w:tcW w:w="73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投资轮次</w:t>
            </w:r>
          </w:p>
        </w:tc>
        <w:tc>
          <w:tcPr>
            <w:tcW w:w="73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投资金额</w:t>
            </w:r>
          </w:p>
        </w:tc>
        <w:tc>
          <w:tcPr>
            <w:tcW w:w="73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占股比例</w:t>
            </w:r>
          </w:p>
        </w:tc>
        <w:tc>
          <w:tcPr>
            <w:tcW w:w="73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是否</w:t>
            </w:r>
          </w:p>
          <w:p>
            <w:pPr>
              <w:jc w:val="center"/>
              <w:rPr>
                <w:rFonts w:eastAsia="文星简仿宋"/>
                <w:color w:val="000000"/>
                <w:kern w:val="0"/>
              </w:rPr>
            </w:pPr>
            <w:r>
              <w:rPr>
                <w:rFonts w:hint="eastAsia" w:eastAsia="文星简仿宋" w:cs="文星简仿宋"/>
                <w:color w:val="000000"/>
                <w:kern w:val="0"/>
              </w:rPr>
              <w:t>领投</w:t>
            </w:r>
          </w:p>
        </w:tc>
        <w:tc>
          <w:tcPr>
            <w:tcW w:w="84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派出</w:t>
            </w:r>
          </w:p>
          <w:p>
            <w:pPr>
              <w:jc w:val="center"/>
              <w:rPr>
                <w:rFonts w:eastAsia="文星简仿宋"/>
                <w:color w:val="000000"/>
                <w:kern w:val="0"/>
              </w:rPr>
            </w:pPr>
            <w:r>
              <w:rPr>
                <w:rFonts w:hint="eastAsia" w:eastAsia="文星简仿宋" w:cs="文星简仿宋"/>
                <w:color w:val="000000"/>
                <w:kern w:val="0"/>
              </w:rPr>
              <w:t>董事</w:t>
            </w:r>
          </w:p>
        </w:tc>
        <w:tc>
          <w:tcPr>
            <w:tcW w:w="126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是否派出、招聘高管</w:t>
            </w:r>
          </w:p>
        </w:tc>
        <w:tc>
          <w:tcPr>
            <w:tcW w:w="126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投资是否在盈亏平衡点后</w:t>
            </w:r>
          </w:p>
        </w:tc>
        <w:tc>
          <w:tcPr>
            <w:tcW w:w="1021"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投资退出时间</w:t>
            </w:r>
          </w:p>
        </w:tc>
        <w:tc>
          <w:tcPr>
            <w:tcW w:w="70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退出方式</w:t>
            </w:r>
          </w:p>
        </w:tc>
        <w:tc>
          <w:tcPr>
            <w:tcW w:w="108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投资</w:t>
            </w:r>
          </w:p>
          <w:p>
            <w:pPr>
              <w:jc w:val="center"/>
              <w:rPr>
                <w:rFonts w:eastAsia="文星简仿宋"/>
                <w:color w:val="000000"/>
                <w:kern w:val="0"/>
              </w:rPr>
            </w:pPr>
            <w:r>
              <w:rPr>
                <w:rFonts w:hint="eastAsia" w:eastAsia="文星简仿宋" w:cs="文星简仿宋"/>
                <w:color w:val="000000"/>
                <w:kern w:val="0"/>
              </w:rPr>
              <w:t>收益</w:t>
            </w:r>
          </w:p>
        </w:tc>
        <w:tc>
          <w:tcPr>
            <w:tcW w:w="874"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项目是否有后续融资</w:t>
            </w:r>
          </w:p>
        </w:tc>
        <w:tc>
          <w:tcPr>
            <w:tcW w:w="1319"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rPr>
            </w:pPr>
            <w:r>
              <w:rPr>
                <w:rFonts w:hint="eastAsia" w:eastAsia="文星简仿宋" w:cs="文星简仿宋"/>
                <w:color w:val="000000"/>
                <w:kern w:val="0"/>
              </w:rPr>
              <w:t>项目公司联系人及电话</w:t>
            </w:r>
          </w:p>
        </w:tc>
      </w:tr>
      <w:tr>
        <w:tblPrEx>
          <w:tblLayout w:type="fixed"/>
          <w:tblCellMar>
            <w:top w:w="0" w:type="dxa"/>
            <w:left w:w="108" w:type="dxa"/>
            <w:bottom w:w="0" w:type="dxa"/>
            <w:right w:w="108" w:type="dxa"/>
          </w:tblCellMar>
        </w:tblPrEx>
        <w:trPr>
          <w:trHeight w:val="794" w:hRule="atLeast"/>
          <w:jc w:val="center"/>
        </w:trPr>
        <w:tc>
          <w:tcPr>
            <w:tcW w:w="661"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4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21"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0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8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74"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319"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r>
        <w:tblPrEx>
          <w:tblLayout w:type="fixed"/>
          <w:tblCellMar>
            <w:top w:w="0" w:type="dxa"/>
            <w:left w:w="108" w:type="dxa"/>
            <w:bottom w:w="0" w:type="dxa"/>
            <w:right w:w="108" w:type="dxa"/>
          </w:tblCellMar>
        </w:tblPrEx>
        <w:trPr>
          <w:trHeight w:val="794" w:hRule="atLeast"/>
          <w:jc w:val="center"/>
        </w:trPr>
        <w:tc>
          <w:tcPr>
            <w:tcW w:w="661"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4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21"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0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8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74"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319"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r>
        <w:tblPrEx>
          <w:tblLayout w:type="fixed"/>
          <w:tblCellMar>
            <w:top w:w="0" w:type="dxa"/>
            <w:left w:w="108" w:type="dxa"/>
            <w:bottom w:w="0" w:type="dxa"/>
            <w:right w:w="108" w:type="dxa"/>
          </w:tblCellMar>
        </w:tblPrEx>
        <w:trPr>
          <w:trHeight w:val="794" w:hRule="atLeast"/>
          <w:jc w:val="center"/>
        </w:trPr>
        <w:tc>
          <w:tcPr>
            <w:tcW w:w="661"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4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21"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0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8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74"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319"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r>
        <w:tblPrEx>
          <w:tblLayout w:type="fixed"/>
          <w:tblCellMar>
            <w:top w:w="0" w:type="dxa"/>
            <w:left w:w="108" w:type="dxa"/>
            <w:bottom w:w="0" w:type="dxa"/>
            <w:right w:w="108" w:type="dxa"/>
          </w:tblCellMar>
        </w:tblPrEx>
        <w:trPr>
          <w:trHeight w:val="794" w:hRule="atLeast"/>
          <w:jc w:val="center"/>
        </w:trPr>
        <w:tc>
          <w:tcPr>
            <w:tcW w:w="661"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4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21"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0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8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74"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319"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r>
        <w:tblPrEx>
          <w:tblLayout w:type="fixed"/>
          <w:tblCellMar>
            <w:top w:w="0" w:type="dxa"/>
            <w:left w:w="108" w:type="dxa"/>
            <w:bottom w:w="0" w:type="dxa"/>
            <w:right w:w="108" w:type="dxa"/>
          </w:tblCellMar>
        </w:tblPrEx>
        <w:trPr>
          <w:trHeight w:val="794" w:hRule="atLeast"/>
          <w:jc w:val="center"/>
        </w:trPr>
        <w:tc>
          <w:tcPr>
            <w:tcW w:w="661"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4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21"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0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8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74"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319"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r>
        <w:tblPrEx>
          <w:tblLayout w:type="fixed"/>
          <w:tblCellMar>
            <w:top w:w="0" w:type="dxa"/>
            <w:left w:w="108" w:type="dxa"/>
            <w:bottom w:w="0" w:type="dxa"/>
            <w:right w:w="108" w:type="dxa"/>
          </w:tblCellMar>
        </w:tblPrEx>
        <w:trPr>
          <w:trHeight w:val="794" w:hRule="atLeast"/>
          <w:jc w:val="center"/>
        </w:trPr>
        <w:tc>
          <w:tcPr>
            <w:tcW w:w="661"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3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4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26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21"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70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080"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874"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1319"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bl>
    <w:p>
      <w:pPr>
        <w:adjustRightInd w:val="0"/>
        <w:snapToGrid w:val="0"/>
        <w:spacing w:before="120" w:beforeLines="50" w:after="120" w:afterLines="50" w:line="360" w:lineRule="auto"/>
        <w:rPr>
          <w:rFonts w:eastAsia="文星简仿宋"/>
          <w:sz w:val="32"/>
          <w:szCs w:val="32"/>
        </w:rPr>
      </w:pPr>
    </w:p>
    <w:p>
      <w:pPr>
        <w:rPr>
          <w:rFonts w:hint="eastAsia" w:eastAsia="黑体" w:cs="仿宋_GB2312"/>
          <w:sz w:val="32"/>
          <w:szCs w:val="32"/>
        </w:rPr>
      </w:pPr>
      <w:r>
        <w:rPr>
          <w:rFonts w:hint="eastAsia" w:eastAsia="黑体" w:cs="仿宋_GB2312"/>
          <w:sz w:val="32"/>
          <w:szCs w:val="32"/>
        </w:rPr>
        <w:br w:type="page"/>
      </w:r>
    </w:p>
    <w:p>
      <w:pPr>
        <w:snapToGrid w:val="0"/>
        <w:spacing w:line="360"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表1—1</w:t>
      </w:r>
    </w:p>
    <w:p>
      <w:pPr>
        <w:spacing w:after="240" w:afterLines="100"/>
        <w:jc w:val="center"/>
        <w:rPr>
          <w:rFonts w:eastAsia="方正小标宋简体"/>
          <w:sz w:val="44"/>
          <w:szCs w:val="44"/>
        </w:rPr>
      </w:pPr>
      <w:r>
        <w:rPr>
          <w:rFonts w:hint="eastAsia" w:eastAsia="方正小标宋简体" w:cs="文星简大标宋"/>
          <w:sz w:val="44"/>
          <w:szCs w:val="44"/>
          <w:lang w:eastAsia="zh-CN"/>
        </w:rPr>
        <w:t>基金管理机构</w:t>
      </w:r>
      <w:r>
        <w:rPr>
          <w:rFonts w:hint="eastAsia" w:eastAsia="方正小标宋简体" w:cs="文星简大标宋"/>
          <w:sz w:val="44"/>
          <w:szCs w:val="44"/>
        </w:rPr>
        <w:t>已管理基金规模及业绩</w:t>
      </w:r>
    </w:p>
    <w:tbl>
      <w:tblPr>
        <w:tblStyle w:val="12"/>
        <w:tblW w:w="13520" w:type="dxa"/>
        <w:jc w:val="center"/>
        <w:tblInd w:w="0" w:type="dxa"/>
        <w:tblLayout w:type="fixed"/>
        <w:tblCellMar>
          <w:top w:w="0" w:type="dxa"/>
          <w:left w:w="108" w:type="dxa"/>
          <w:bottom w:w="0" w:type="dxa"/>
          <w:right w:w="108" w:type="dxa"/>
        </w:tblCellMar>
      </w:tblPr>
      <w:tblGrid>
        <w:gridCol w:w="1197"/>
        <w:gridCol w:w="3083"/>
        <w:gridCol w:w="2205"/>
        <w:gridCol w:w="2625"/>
        <w:gridCol w:w="2205"/>
        <w:gridCol w:w="2205"/>
      </w:tblGrid>
      <w:tr>
        <w:tblPrEx>
          <w:tblLayout w:type="fixed"/>
          <w:tblCellMar>
            <w:top w:w="0" w:type="dxa"/>
            <w:left w:w="108" w:type="dxa"/>
            <w:bottom w:w="0" w:type="dxa"/>
            <w:right w:w="108" w:type="dxa"/>
          </w:tblCellMar>
        </w:tblPrEx>
        <w:trPr>
          <w:trHeight w:val="810"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jc w:val="center"/>
              <w:rPr>
                <w:rFonts w:eastAsia="文星简仿宋"/>
                <w:color w:val="000000"/>
                <w:kern w:val="0"/>
                <w:sz w:val="28"/>
                <w:szCs w:val="28"/>
              </w:rPr>
            </w:pPr>
            <w:r>
              <w:rPr>
                <w:rFonts w:hint="eastAsia" w:eastAsia="文星简仿宋" w:cs="文星简仿宋"/>
                <w:color w:val="000000"/>
                <w:kern w:val="0"/>
                <w:sz w:val="28"/>
                <w:szCs w:val="28"/>
              </w:rPr>
              <w:t>序号</w:t>
            </w:r>
          </w:p>
        </w:tc>
        <w:tc>
          <w:tcPr>
            <w:tcW w:w="3083"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8"/>
                <w:szCs w:val="28"/>
              </w:rPr>
            </w:pPr>
            <w:r>
              <w:rPr>
                <w:rFonts w:hint="eastAsia" w:eastAsia="文星简仿宋" w:cs="文星简仿宋"/>
                <w:color w:val="000000"/>
                <w:kern w:val="0"/>
                <w:sz w:val="28"/>
                <w:szCs w:val="28"/>
              </w:rPr>
              <w:t>基金名称</w:t>
            </w:r>
          </w:p>
        </w:tc>
        <w:tc>
          <w:tcPr>
            <w:tcW w:w="220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8"/>
                <w:szCs w:val="28"/>
              </w:rPr>
            </w:pPr>
            <w:r>
              <w:rPr>
                <w:rFonts w:hint="eastAsia" w:eastAsia="文星简仿宋" w:cs="文星简仿宋"/>
                <w:color w:val="000000"/>
                <w:kern w:val="0"/>
                <w:sz w:val="28"/>
                <w:szCs w:val="28"/>
              </w:rPr>
              <w:t>基金规模</w:t>
            </w:r>
          </w:p>
        </w:tc>
        <w:tc>
          <w:tcPr>
            <w:tcW w:w="262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8"/>
                <w:szCs w:val="28"/>
              </w:rPr>
            </w:pPr>
            <w:r>
              <w:rPr>
                <w:rFonts w:hint="eastAsia" w:eastAsia="文星简仿宋" w:cs="文星简仿宋"/>
                <w:color w:val="000000"/>
                <w:kern w:val="0"/>
                <w:sz w:val="28"/>
                <w:szCs w:val="28"/>
              </w:rPr>
              <w:t>实缴规模</w:t>
            </w:r>
          </w:p>
        </w:tc>
        <w:tc>
          <w:tcPr>
            <w:tcW w:w="220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8"/>
                <w:szCs w:val="28"/>
              </w:rPr>
            </w:pPr>
            <w:r>
              <w:rPr>
                <w:rFonts w:hint="eastAsia" w:eastAsia="文星简仿宋" w:cs="文星简仿宋"/>
                <w:color w:val="000000"/>
                <w:kern w:val="0"/>
                <w:sz w:val="28"/>
                <w:szCs w:val="28"/>
              </w:rPr>
              <w:t>已累计投资</w:t>
            </w:r>
          </w:p>
        </w:tc>
        <w:tc>
          <w:tcPr>
            <w:tcW w:w="220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8"/>
                <w:szCs w:val="28"/>
              </w:rPr>
            </w:pPr>
            <w:r>
              <w:rPr>
                <w:rFonts w:hint="eastAsia" w:eastAsia="文星简仿宋" w:cs="文星简仿宋"/>
                <w:color w:val="000000"/>
                <w:kern w:val="0"/>
                <w:sz w:val="28"/>
                <w:szCs w:val="28"/>
              </w:rPr>
              <w:t>基金业协会登记备案号</w:t>
            </w:r>
          </w:p>
        </w:tc>
      </w:tr>
      <w:tr>
        <w:tblPrEx>
          <w:tblLayout w:type="fixed"/>
          <w:tblCellMar>
            <w:top w:w="0" w:type="dxa"/>
            <w:left w:w="108" w:type="dxa"/>
            <w:bottom w:w="0" w:type="dxa"/>
            <w:right w:w="108" w:type="dxa"/>
          </w:tblCellMar>
        </w:tblPrEx>
        <w:trPr>
          <w:trHeight w:val="794" w:hRule="atLeast"/>
          <w:jc w:val="center"/>
        </w:trPr>
        <w:tc>
          <w:tcPr>
            <w:tcW w:w="1197"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3083"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62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r>
        <w:tblPrEx>
          <w:tblLayout w:type="fixed"/>
          <w:tblCellMar>
            <w:top w:w="0" w:type="dxa"/>
            <w:left w:w="108" w:type="dxa"/>
            <w:bottom w:w="0" w:type="dxa"/>
            <w:right w:w="108" w:type="dxa"/>
          </w:tblCellMar>
        </w:tblPrEx>
        <w:trPr>
          <w:trHeight w:val="794" w:hRule="atLeast"/>
          <w:jc w:val="center"/>
        </w:trPr>
        <w:tc>
          <w:tcPr>
            <w:tcW w:w="1197"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3083"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62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r>
        <w:tblPrEx>
          <w:tblLayout w:type="fixed"/>
          <w:tblCellMar>
            <w:top w:w="0" w:type="dxa"/>
            <w:left w:w="108" w:type="dxa"/>
            <w:bottom w:w="0" w:type="dxa"/>
            <w:right w:w="108" w:type="dxa"/>
          </w:tblCellMar>
        </w:tblPrEx>
        <w:trPr>
          <w:trHeight w:val="794" w:hRule="atLeast"/>
          <w:jc w:val="center"/>
        </w:trPr>
        <w:tc>
          <w:tcPr>
            <w:tcW w:w="1197"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3083"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62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r>
        <w:tblPrEx>
          <w:tblLayout w:type="fixed"/>
          <w:tblCellMar>
            <w:top w:w="0" w:type="dxa"/>
            <w:left w:w="108" w:type="dxa"/>
            <w:bottom w:w="0" w:type="dxa"/>
            <w:right w:w="108" w:type="dxa"/>
          </w:tblCellMar>
        </w:tblPrEx>
        <w:trPr>
          <w:trHeight w:val="794" w:hRule="atLeast"/>
          <w:jc w:val="center"/>
        </w:trPr>
        <w:tc>
          <w:tcPr>
            <w:tcW w:w="1197"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3083"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62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r>
        <w:tblPrEx>
          <w:tblLayout w:type="fixed"/>
          <w:tblCellMar>
            <w:top w:w="0" w:type="dxa"/>
            <w:left w:w="108" w:type="dxa"/>
            <w:bottom w:w="0" w:type="dxa"/>
            <w:right w:w="108" w:type="dxa"/>
          </w:tblCellMar>
        </w:tblPrEx>
        <w:trPr>
          <w:trHeight w:val="794" w:hRule="atLeast"/>
          <w:jc w:val="center"/>
        </w:trPr>
        <w:tc>
          <w:tcPr>
            <w:tcW w:w="1197"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3083"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62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r>
        <w:tblPrEx>
          <w:tblLayout w:type="fixed"/>
          <w:tblCellMar>
            <w:top w:w="0" w:type="dxa"/>
            <w:left w:w="108" w:type="dxa"/>
            <w:bottom w:w="0" w:type="dxa"/>
            <w:right w:w="108" w:type="dxa"/>
          </w:tblCellMar>
        </w:tblPrEx>
        <w:trPr>
          <w:trHeight w:val="794" w:hRule="atLeast"/>
          <w:jc w:val="center"/>
        </w:trPr>
        <w:tc>
          <w:tcPr>
            <w:tcW w:w="1197" w:type="dxa"/>
            <w:tcBorders>
              <w:top w:val="nil"/>
              <w:left w:val="single" w:color="auto" w:sz="4" w:space="0"/>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3083"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62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c>
          <w:tcPr>
            <w:tcW w:w="2205" w:type="dxa"/>
            <w:tcBorders>
              <w:top w:val="nil"/>
              <w:left w:val="nil"/>
              <w:bottom w:val="single" w:color="auto" w:sz="4" w:space="0"/>
              <w:right w:val="single" w:color="auto" w:sz="4" w:space="0"/>
            </w:tcBorders>
            <w:vAlign w:val="center"/>
          </w:tcPr>
          <w:p>
            <w:pPr>
              <w:jc w:val="left"/>
              <w:rPr>
                <w:rFonts w:eastAsia="仿宋"/>
                <w:color w:val="000000"/>
                <w:kern w:val="0"/>
                <w:sz w:val="24"/>
              </w:rPr>
            </w:pPr>
            <w:r>
              <w:rPr>
                <w:rFonts w:hint="eastAsia" w:eastAsia="仿宋" w:cs="仿宋"/>
                <w:color w:val="000000"/>
                <w:kern w:val="0"/>
                <w:sz w:val="24"/>
              </w:rPr>
              <w:t>　</w:t>
            </w:r>
          </w:p>
        </w:tc>
      </w:tr>
    </w:tbl>
    <w:p>
      <w:pPr>
        <w:spacing w:line="360" w:lineRule="auto"/>
        <w:jc w:val="left"/>
        <w:rPr>
          <w:rFonts w:eastAsia="文星简仿宋"/>
          <w:sz w:val="32"/>
          <w:szCs w:val="32"/>
        </w:rPr>
        <w:sectPr>
          <w:pgSz w:w="16838" w:h="11906" w:orient="landscape"/>
          <w:pgMar w:top="1474" w:right="1701" w:bottom="1418" w:left="1701" w:header="851" w:footer="992" w:gutter="0"/>
          <w:pgNumType w:fmt="numberInDash"/>
          <w:cols w:space="720" w:num="1"/>
          <w:docGrid w:linePitch="312" w:charSpace="0"/>
        </w:sectPr>
      </w:pPr>
    </w:p>
    <w:p>
      <w:pPr>
        <w:snapToGrid w:val="0"/>
        <w:spacing w:line="360"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表2</w:t>
      </w:r>
    </w:p>
    <w:p>
      <w:pPr>
        <w:jc w:val="center"/>
        <w:rPr>
          <w:rFonts w:eastAsia="方正小标宋简体"/>
          <w:sz w:val="44"/>
          <w:szCs w:val="44"/>
        </w:rPr>
      </w:pPr>
      <w:r>
        <w:rPr>
          <w:rFonts w:hint="eastAsia" w:eastAsia="方正小标宋简体" w:cs="文星简大标宋"/>
          <w:sz w:val="44"/>
          <w:szCs w:val="44"/>
        </w:rPr>
        <w:t>管理团队核心成员简历表</w:t>
      </w:r>
    </w:p>
    <w:p/>
    <w:tbl>
      <w:tblPr>
        <w:tblStyle w:val="12"/>
        <w:tblW w:w="94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16"/>
        <w:gridCol w:w="900"/>
        <w:gridCol w:w="304"/>
        <w:gridCol w:w="68"/>
        <w:gridCol w:w="852"/>
        <w:gridCol w:w="756"/>
        <w:gridCol w:w="540"/>
        <w:gridCol w:w="304"/>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68" w:type="dxa"/>
            <w:gridSpan w:val="10"/>
            <w:vAlign w:val="center"/>
          </w:tcPr>
          <w:p>
            <w:pPr>
              <w:rPr>
                <w:rFonts w:eastAsia="文星简仿宋"/>
              </w:rPr>
            </w:pPr>
            <w:r>
              <w:rPr>
                <w:rFonts w:hint="eastAsia" w:eastAsia="文星简仿宋" w:cs="文星简仿宋"/>
                <w:lang w:val="en-US" w:eastAsia="zh-CN"/>
              </w:rPr>
              <w:t>常驻</w:t>
            </w:r>
            <w:r>
              <w:rPr>
                <w:rFonts w:hint="eastAsia" w:eastAsia="文星简仿宋" w:cs="文星简仿宋"/>
              </w:rPr>
              <w:t>人员（）</w:t>
            </w:r>
          </w:p>
          <w:p>
            <w:pPr>
              <w:rPr>
                <w:rFonts w:eastAsia="文星简仿宋"/>
                <w:b/>
                <w:bCs/>
                <w:sz w:val="28"/>
                <w:szCs w:val="28"/>
              </w:rPr>
            </w:pPr>
            <w:r>
              <w:rPr>
                <w:rFonts w:hint="eastAsia" w:eastAsia="文星简仿宋" w:cs="文星简仿宋"/>
              </w:rPr>
              <w:t>基金核心团队人员（）注：请在相应栏划√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08" w:type="dxa"/>
            <w:vAlign w:val="center"/>
          </w:tcPr>
          <w:p>
            <w:pPr>
              <w:jc w:val="center"/>
              <w:rPr>
                <w:rFonts w:eastAsia="文星简仿宋"/>
              </w:rPr>
            </w:pPr>
            <w:r>
              <w:rPr>
                <w:rFonts w:hint="eastAsia" w:eastAsia="文星简仿宋" w:cs="文星简仿宋"/>
              </w:rPr>
              <w:t>姓　　名</w:t>
            </w:r>
          </w:p>
        </w:tc>
        <w:tc>
          <w:tcPr>
            <w:tcW w:w="1316" w:type="dxa"/>
            <w:vAlign w:val="center"/>
          </w:tcPr>
          <w:p>
            <w:pPr>
              <w:rPr>
                <w:rFonts w:eastAsia="文星简仿宋"/>
              </w:rPr>
            </w:pPr>
          </w:p>
        </w:tc>
        <w:tc>
          <w:tcPr>
            <w:tcW w:w="1272" w:type="dxa"/>
            <w:gridSpan w:val="3"/>
            <w:vAlign w:val="center"/>
          </w:tcPr>
          <w:p>
            <w:pPr>
              <w:jc w:val="center"/>
              <w:rPr>
                <w:rFonts w:eastAsia="文星简仿宋"/>
              </w:rPr>
            </w:pPr>
            <w:r>
              <w:rPr>
                <w:rFonts w:hint="eastAsia" w:eastAsia="文星简仿宋" w:cs="文星简仿宋"/>
              </w:rPr>
              <w:t>性　别</w:t>
            </w:r>
          </w:p>
        </w:tc>
        <w:tc>
          <w:tcPr>
            <w:tcW w:w="852" w:type="dxa"/>
            <w:vAlign w:val="center"/>
          </w:tcPr>
          <w:p>
            <w:pPr>
              <w:jc w:val="center"/>
              <w:rPr>
                <w:rFonts w:eastAsia="文星简仿宋"/>
              </w:rPr>
            </w:pPr>
          </w:p>
        </w:tc>
        <w:tc>
          <w:tcPr>
            <w:tcW w:w="1600" w:type="dxa"/>
            <w:gridSpan w:val="3"/>
            <w:vAlign w:val="center"/>
          </w:tcPr>
          <w:p>
            <w:pPr>
              <w:jc w:val="center"/>
              <w:rPr>
                <w:rFonts w:eastAsia="文星简仿宋"/>
              </w:rPr>
            </w:pPr>
            <w:r>
              <w:rPr>
                <w:rFonts w:hint="eastAsia" w:eastAsia="文星简仿宋" w:cs="文星简仿宋"/>
              </w:rPr>
              <w:t>国　籍</w:t>
            </w:r>
          </w:p>
        </w:tc>
        <w:tc>
          <w:tcPr>
            <w:tcW w:w="2520" w:type="dxa"/>
            <w:vAlign w:val="center"/>
          </w:tcPr>
          <w:p>
            <w:pPr>
              <w:jc w:val="center"/>
              <w:rPr>
                <w:rFonts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908" w:type="dxa"/>
            <w:vAlign w:val="center"/>
          </w:tcPr>
          <w:p>
            <w:pPr>
              <w:jc w:val="center"/>
              <w:rPr>
                <w:rFonts w:eastAsia="文星简仿宋"/>
              </w:rPr>
            </w:pPr>
            <w:r>
              <w:rPr>
                <w:rFonts w:hint="eastAsia" w:eastAsia="文星简仿宋" w:cs="文星简仿宋"/>
              </w:rPr>
              <w:t>职　　务</w:t>
            </w:r>
          </w:p>
        </w:tc>
        <w:tc>
          <w:tcPr>
            <w:tcW w:w="1316" w:type="dxa"/>
            <w:vAlign w:val="center"/>
          </w:tcPr>
          <w:p>
            <w:pPr>
              <w:rPr>
                <w:rFonts w:eastAsia="文星简仿宋"/>
              </w:rPr>
            </w:pPr>
          </w:p>
        </w:tc>
        <w:tc>
          <w:tcPr>
            <w:tcW w:w="2124" w:type="dxa"/>
            <w:gridSpan w:val="4"/>
            <w:vAlign w:val="center"/>
          </w:tcPr>
          <w:p>
            <w:pPr>
              <w:jc w:val="center"/>
              <w:rPr>
                <w:rFonts w:eastAsia="文星简仿宋"/>
              </w:rPr>
            </w:pPr>
            <w:r>
              <w:rPr>
                <w:rFonts w:hint="eastAsia" w:eastAsia="文星简仿宋" w:cs="文星简仿宋"/>
              </w:rPr>
              <w:t>任职时间</w:t>
            </w:r>
          </w:p>
        </w:tc>
        <w:tc>
          <w:tcPr>
            <w:tcW w:w="4120" w:type="dxa"/>
            <w:gridSpan w:val="4"/>
            <w:vAlign w:val="center"/>
          </w:tcPr>
          <w:p>
            <w:pPr>
              <w:jc w:val="center"/>
              <w:rPr>
                <w:rFonts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08" w:type="dxa"/>
            <w:vAlign w:val="center"/>
          </w:tcPr>
          <w:p>
            <w:pPr>
              <w:jc w:val="center"/>
              <w:rPr>
                <w:rFonts w:eastAsia="文星简仿宋"/>
              </w:rPr>
            </w:pPr>
            <w:r>
              <w:rPr>
                <w:rFonts w:hint="eastAsia" w:eastAsia="文星简仿宋" w:cs="文星简仿宋"/>
              </w:rPr>
              <w:t>学　　历</w:t>
            </w:r>
          </w:p>
        </w:tc>
        <w:tc>
          <w:tcPr>
            <w:tcW w:w="1316" w:type="dxa"/>
            <w:vAlign w:val="center"/>
          </w:tcPr>
          <w:p>
            <w:pPr>
              <w:rPr>
                <w:rFonts w:eastAsia="文星简仿宋"/>
              </w:rPr>
            </w:pPr>
          </w:p>
        </w:tc>
        <w:tc>
          <w:tcPr>
            <w:tcW w:w="1204" w:type="dxa"/>
            <w:gridSpan w:val="2"/>
            <w:vAlign w:val="center"/>
          </w:tcPr>
          <w:p>
            <w:pPr>
              <w:jc w:val="center"/>
              <w:rPr>
                <w:rFonts w:eastAsia="文星简仿宋"/>
              </w:rPr>
            </w:pPr>
            <w:r>
              <w:rPr>
                <w:rFonts w:hint="eastAsia" w:eastAsia="文星简仿宋" w:cs="文星简仿宋"/>
              </w:rPr>
              <w:t>专　业</w:t>
            </w:r>
          </w:p>
        </w:tc>
        <w:tc>
          <w:tcPr>
            <w:tcW w:w="920" w:type="dxa"/>
            <w:gridSpan w:val="2"/>
            <w:vAlign w:val="center"/>
          </w:tcPr>
          <w:p>
            <w:pPr>
              <w:jc w:val="center"/>
              <w:rPr>
                <w:rFonts w:eastAsia="文星简仿宋"/>
              </w:rPr>
            </w:pPr>
          </w:p>
        </w:tc>
        <w:tc>
          <w:tcPr>
            <w:tcW w:w="1600" w:type="dxa"/>
            <w:gridSpan w:val="3"/>
            <w:vAlign w:val="center"/>
          </w:tcPr>
          <w:p>
            <w:pPr>
              <w:jc w:val="center"/>
              <w:rPr>
                <w:rFonts w:eastAsia="文星简仿宋"/>
              </w:rPr>
            </w:pPr>
            <w:r>
              <w:rPr>
                <w:rFonts w:hint="eastAsia" w:eastAsia="文星简仿宋" w:cs="文星简仿宋"/>
              </w:rPr>
              <w:t>出生年月日</w:t>
            </w:r>
          </w:p>
        </w:tc>
        <w:tc>
          <w:tcPr>
            <w:tcW w:w="2520" w:type="dxa"/>
            <w:vAlign w:val="center"/>
          </w:tcPr>
          <w:p>
            <w:pPr>
              <w:jc w:val="center"/>
              <w:rPr>
                <w:rFonts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908" w:type="dxa"/>
            <w:vAlign w:val="center"/>
          </w:tcPr>
          <w:p>
            <w:pPr>
              <w:jc w:val="center"/>
              <w:rPr>
                <w:rFonts w:eastAsia="文星简仿宋"/>
              </w:rPr>
            </w:pPr>
            <w:r>
              <w:rPr>
                <w:rFonts w:hint="eastAsia" w:eastAsia="文星简仿宋" w:cs="文星简仿宋"/>
              </w:rPr>
              <w:t>家庭住址</w:t>
            </w:r>
          </w:p>
        </w:tc>
        <w:tc>
          <w:tcPr>
            <w:tcW w:w="7560" w:type="dxa"/>
            <w:gridSpan w:val="9"/>
            <w:vAlign w:val="center"/>
          </w:tcPr>
          <w:p>
            <w:pPr>
              <w:jc w:val="center"/>
              <w:rPr>
                <w:rFonts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908" w:type="dxa"/>
            <w:vAlign w:val="center"/>
          </w:tcPr>
          <w:p>
            <w:pPr>
              <w:jc w:val="center"/>
              <w:rPr>
                <w:rFonts w:eastAsia="文星简仿宋"/>
              </w:rPr>
            </w:pPr>
            <w:r>
              <w:rPr>
                <w:rFonts w:hint="eastAsia" w:eastAsia="文星简仿宋" w:cs="文星简仿宋"/>
              </w:rPr>
              <w:t>办公电话</w:t>
            </w:r>
          </w:p>
        </w:tc>
        <w:tc>
          <w:tcPr>
            <w:tcW w:w="1316" w:type="dxa"/>
            <w:vAlign w:val="center"/>
          </w:tcPr>
          <w:p>
            <w:pPr>
              <w:rPr>
                <w:rFonts w:eastAsia="文星简仿宋"/>
              </w:rPr>
            </w:pPr>
          </w:p>
        </w:tc>
        <w:tc>
          <w:tcPr>
            <w:tcW w:w="900" w:type="dxa"/>
            <w:vAlign w:val="center"/>
          </w:tcPr>
          <w:p>
            <w:pPr>
              <w:jc w:val="center"/>
              <w:rPr>
                <w:rFonts w:eastAsia="文星简仿宋"/>
              </w:rPr>
            </w:pPr>
            <w:r>
              <w:rPr>
                <w:rFonts w:hint="eastAsia" w:eastAsia="文星简仿宋" w:cs="文星简仿宋"/>
              </w:rPr>
              <w:t>手机</w:t>
            </w:r>
          </w:p>
        </w:tc>
        <w:tc>
          <w:tcPr>
            <w:tcW w:w="1224" w:type="dxa"/>
            <w:gridSpan w:val="3"/>
            <w:vAlign w:val="center"/>
          </w:tcPr>
          <w:p>
            <w:pPr>
              <w:jc w:val="center"/>
              <w:rPr>
                <w:rFonts w:eastAsia="文星简仿宋"/>
              </w:rPr>
            </w:pPr>
          </w:p>
        </w:tc>
        <w:tc>
          <w:tcPr>
            <w:tcW w:w="1296" w:type="dxa"/>
            <w:gridSpan w:val="2"/>
            <w:vAlign w:val="center"/>
          </w:tcPr>
          <w:p>
            <w:pPr>
              <w:jc w:val="center"/>
              <w:rPr>
                <w:rFonts w:eastAsia="文星简仿宋" w:cs="文星简仿宋"/>
              </w:rPr>
            </w:pPr>
            <w:r>
              <w:rPr>
                <w:rFonts w:eastAsia="文星简仿宋" w:cs="文星简仿宋"/>
              </w:rPr>
              <w:t>E-mail</w:t>
            </w:r>
          </w:p>
        </w:tc>
        <w:tc>
          <w:tcPr>
            <w:tcW w:w="2824" w:type="dxa"/>
            <w:gridSpan w:val="2"/>
            <w:vAlign w:val="center"/>
          </w:tcPr>
          <w:p>
            <w:pPr>
              <w:jc w:val="center"/>
              <w:rPr>
                <w:rFonts w:eastAsia="文星简仿宋" w:cs="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8" w:type="dxa"/>
            <w:vAlign w:val="center"/>
          </w:tcPr>
          <w:p>
            <w:pPr>
              <w:jc w:val="center"/>
              <w:rPr>
                <w:rFonts w:eastAsia="文星简仿宋"/>
              </w:rPr>
            </w:pPr>
            <w:r>
              <w:rPr>
                <w:rFonts w:hint="eastAsia" w:eastAsia="文星简仿宋" w:cs="文星简仿宋"/>
              </w:rPr>
              <w:t>通讯地址</w:t>
            </w:r>
          </w:p>
        </w:tc>
        <w:tc>
          <w:tcPr>
            <w:tcW w:w="4196" w:type="dxa"/>
            <w:gridSpan w:val="6"/>
            <w:vAlign w:val="center"/>
          </w:tcPr>
          <w:p>
            <w:pPr>
              <w:jc w:val="center"/>
              <w:rPr>
                <w:rFonts w:eastAsia="文星简仿宋"/>
              </w:rPr>
            </w:pPr>
          </w:p>
        </w:tc>
        <w:tc>
          <w:tcPr>
            <w:tcW w:w="844" w:type="dxa"/>
            <w:gridSpan w:val="2"/>
            <w:vAlign w:val="center"/>
          </w:tcPr>
          <w:p>
            <w:pPr>
              <w:jc w:val="center"/>
              <w:rPr>
                <w:rFonts w:eastAsia="文星简仿宋"/>
              </w:rPr>
            </w:pPr>
            <w:r>
              <w:rPr>
                <w:rFonts w:hint="eastAsia" w:eastAsia="文星简仿宋" w:cs="文星简仿宋"/>
              </w:rPr>
              <w:t>邮编</w:t>
            </w:r>
          </w:p>
        </w:tc>
        <w:tc>
          <w:tcPr>
            <w:tcW w:w="2520" w:type="dxa"/>
            <w:vAlign w:val="center"/>
          </w:tcPr>
          <w:p>
            <w:pPr>
              <w:jc w:val="center"/>
              <w:rPr>
                <w:rFonts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2" w:hRule="atLeast"/>
        </w:trPr>
        <w:tc>
          <w:tcPr>
            <w:tcW w:w="1908" w:type="dxa"/>
            <w:textDirection w:val="tbRlV"/>
            <w:vAlign w:val="center"/>
          </w:tcPr>
          <w:p>
            <w:pPr>
              <w:ind w:left="113" w:right="113"/>
              <w:jc w:val="center"/>
              <w:rPr>
                <w:rFonts w:eastAsia="文星简仿宋"/>
              </w:rPr>
            </w:pPr>
            <w:r>
              <w:rPr>
                <w:rFonts w:hint="eastAsia" w:eastAsia="文星简仿宋" w:cs="文星简仿宋"/>
              </w:rPr>
              <w:t>受教育及工作经历（要求时间连续）</w:t>
            </w:r>
          </w:p>
        </w:tc>
        <w:tc>
          <w:tcPr>
            <w:tcW w:w="7560" w:type="dxa"/>
            <w:gridSpan w:val="9"/>
            <w:vAlign w:val="center"/>
          </w:tcPr>
          <w:p>
            <w:pPr>
              <w:rPr>
                <w:rFonts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6" w:hRule="atLeast"/>
        </w:trPr>
        <w:tc>
          <w:tcPr>
            <w:tcW w:w="1908" w:type="dxa"/>
            <w:textDirection w:val="tbRlV"/>
            <w:vAlign w:val="center"/>
          </w:tcPr>
          <w:p>
            <w:pPr>
              <w:jc w:val="center"/>
              <w:rPr>
                <w:rFonts w:eastAsia="文星简仿宋"/>
              </w:rPr>
            </w:pPr>
            <w:r>
              <w:rPr>
                <w:rFonts w:hint="eastAsia" w:eastAsia="文星简仿宋" w:cs="文星简仿宋"/>
              </w:rPr>
              <w:t>业绩及所获荣誉</w:t>
            </w:r>
          </w:p>
        </w:tc>
        <w:tc>
          <w:tcPr>
            <w:tcW w:w="7560" w:type="dxa"/>
            <w:gridSpan w:val="9"/>
            <w:vAlign w:val="center"/>
          </w:tcPr>
          <w:p>
            <w:pPr>
              <w:ind w:firstLine="420" w:firstLineChars="200"/>
              <w:rPr>
                <w:rFonts w:eastAsia="文星简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4" w:hRule="atLeast"/>
        </w:trPr>
        <w:tc>
          <w:tcPr>
            <w:tcW w:w="1908" w:type="dxa"/>
            <w:textDirection w:val="tbRlV"/>
            <w:vAlign w:val="center"/>
          </w:tcPr>
          <w:p>
            <w:pPr>
              <w:jc w:val="center"/>
              <w:rPr>
                <w:rFonts w:eastAsia="文星简仿宋"/>
              </w:rPr>
            </w:pPr>
            <w:r>
              <w:rPr>
                <w:rFonts w:hint="eastAsia" w:eastAsia="文星简仿宋" w:cs="文星简仿宋"/>
              </w:rPr>
              <w:t>兼职情况说明</w:t>
            </w:r>
          </w:p>
        </w:tc>
        <w:tc>
          <w:tcPr>
            <w:tcW w:w="7560" w:type="dxa"/>
            <w:gridSpan w:val="9"/>
            <w:vAlign w:val="center"/>
          </w:tcPr>
          <w:p>
            <w:pPr>
              <w:ind w:firstLine="420" w:firstLineChars="200"/>
              <w:rPr>
                <w:rFonts w:eastAsia="文星简仿宋"/>
              </w:rPr>
            </w:pPr>
            <w:r>
              <w:rPr>
                <w:rFonts w:hint="eastAsia" w:eastAsia="文星简仿宋" w:cs="文星简仿宋"/>
              </w:rPr>
              <w:t>（包含兼职的职责和权限、可能存在的利益冲突等）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8" w:hRule="atLeast"/>
        </w:trPr>
        <w:tc>
          <w:tcPr>
            <w:tcW w:w="1908" w:type="dxa"/>
            <w:textDirection w:val="tbRlV"/>
            <w:vAlign w:val="center"/>
          </w:tcPr>
          <w:p>
            <w:pPr>
              <w:jc w:val="center"/>
              <w:rPr>
                <w:rFonts w:eastAsia="文星简仿宋"/>
              </w:rPr>
            </w:pPr>
          </w:p>
        </w:tc>
        <w:tc>
          <w:tcPr>
            <w:tcW w:w="7560" w:type="dxa"/>
            <w:gridSpan w:val="9"/>
            <w:vAlign w:val="center"/>
          </w:tcPr>
          <w:p>
            <w:pPr>
              <w:ind w:firstLine="420" w:firstLineChars="200"/>
              <w:rPr>
                <w:rFonts w:eastAsia="文星简仿宋"/>
              </w:rPr>
            </w:pPr>
            <w:r>
              <w:rPr>
                <w:rFonts w:hint="eastAsia" w:eastAsia="文星简仿宋" w:cs="文星简仿宋"/>
              </w:rPr>
              <w:t>个人签字：</w:t>
            </w:r>
          </w:p>
        </w:tc>
      </w:tr>
    </w:tbl>
    <w:p>
      <w:pPr>
        <w:spacing w:before="120" w:beforeLines="50"/>
        <w:rPr>
          <w:rFonts w:eastAsia="文星简仿宋"/>
          <w:bCs/>
          <w:sz w:val="24"/>
        </w:rPr>
      </w:pPr>
      <w:r>
        <w:rPr>
          <w:rFonts w:hint="eastAsia" w:eastAsia="文星简仿宋" w:cs="文星简仿宋"/>
          <w:bCs/>
          <w:sz w:val="24"/>
        </w:rPr>
        <w:t>注：请附管理团队核心成员的身份证、学历证、资格证书复印件，任职证明，业绩及所获荣誉证明资料。</w:t>
      </w:r>
    </w:p>
    <w:p>
      <w:pPr>
        <w:jc w:val="left"/>
        <w:rPr>
          <w:rFonts w:eastAsia="方正仿宋_GBK"/>
          <w:sz w:val="32"/>
          <w:szCs w:val="32"/>
        </w:rPr>
        <w:sectPr>
          <w:pgSz w:w="11906" w:h="16838"/>
          <w:pgMar w:top="1701" w:right="1418" w:bottom="1701" w:left="1474" w:header="851" w:footer="992" w:gutter="0"/>
          <w:pgNumType w:fmt="numberInDash"/>
          <w:cols w:space="720" w:num="1"/>
          <w:docGrid w:linePitch="312" w:charSpace="0"/>
        </w:sectPr>
      </w:pPr>
    </w:p>
    <w:p>
      <w:pPr>
        <w:snapToGrid w:val="0"/>
        <w:spacing w:line="360"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表3</w:t>
      </w:r>
    </w:p>
    <w:p>
      <w:pPr>
        <w:spacing w:after="240" w:afterLines="100"/>
        <w:jc w:val="center"/>
        <w:rPr>
          <w:rFonts w:eastAsia="方正小标宋简体"/>
          <w:sz w:val="44"/>
          <w:szCs w:val="44"/>
        </w:rPr>
      </w:pPr>
      <w:r>
        <w:rPr>
          <w:rFonts w:hint="eastAsia" w:eastAsia="方正小标宋简体" w:cs="文星简大标宋"/>
          <w:sz w:val="44"/>
          <w:szCs w:val="44"/>
        </w:rPr>
        <w:t>管理团队主要投资业绩</w:t>
      </w:r>
    </w:p>
    <w:tbl>
      <w:tblPr>
        <w:tblStyle w:val="12"/>
        <w:tblW w:w="14053" w:type="dxa"/>
        <w:jc w:val="center"/>
        <w:tblInd w:w="0" w:type="dxa"/>
        <w:tblLayout w:type="fixed"/>
        <w:tblCellMar>
          <w:top w:w="0" w:type="dxa"/>
          <w:left w:w="108" w:type="dxa"/>
          <w:bottom w:w="0" w:type="dxa"/>
          <w:right w:w="108" w:type="dxa"/>
        </w:tblCellMar>
      </w:tblPr>
      <w:tblGrid>
        <w:gridCol w:w="823"/>
        <w:gridCol w:w="1050"/>
        <w:gridCol w:w="1575"/>
        <w:gridCol w:w="1155"/>
        <w:gridCol w:w="840"/>
        <w:gridCol w:w="840"/>
        <w:gridCol w:w="840"/>
        <w:gridCol w:w="840"/>
        <w:gridCol w:w="735"/>
        <w:gridCol w:w="840"/>
        <w:gridCol w:w="840"/>
        <w:gridCol w:w="840"/>
        <w:gridCol w:w="1260"/>
        <w:gridCol w:w="1575"/>
      </w:tblGrid>
      <w:tr>
        <w:tblPrEx>
          <w:tblLayout w:type="fixed"/>
          <w:tblCellMar>
            <w:top w:w="0" w:type="dxa"/>
            <w:left w:w="108" w:type="dxa"/>
            <w:bottom w:w="0" w:type="dxa"/>
            <w:right w:w="108" w:type="dxa"/>
          </w:tblCellMar>
        </w:tblPrEx>
        <w:trPr>
          <w:trHeight w:val="810"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序号</w:t>
            </w:r>
          </w:p>
        </w:tc>
        <w:tc>
          <w:tcPr>
            <w:tcW w:w="105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姓名</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lang w:val="en-US" w:eastAsia="zh-CN"/>
              </w:rPr>
              <w:t>投资时</w:t>
            </w:r>
            <w:r>
              <w:rPr>
                <w:rFonts w:hint="eastAsia" w:eastAsia="文星简仿宋" w:cs="文星简仿宋"/>
                <w:color w:val="000000"/>
                <w:kern w:val="0"/>
                <w:sz w:val="24"/>
              </w:rPr>
              <w:t>任职单位及职务</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投资项目名称</w:t>
            </w:r>
          </w:p>
        </w:tc>
        <w:tc>
          <w:tcPr>
            <w:tcW w:w="84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行业分类</w:t>
            </w:r>
          </w:p>
        </w:tc>
        <w:tc>
          <w:tcPr>
            <w:tcW w:w="84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投资时间</w:t>
            </w:r>
          </w:p>
        </w:tc>
        <w:tc>
          <w:tcPr>
            <w:tcW w:w="84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投资轮次</w:t>
            </w:r>
          </w:p>
        </w:tc>
        <w:tc>
          <w:tcPr>
            <w:tcW w:w="84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投资金额</w:t>
            </w:r>
          </w:p>
        </w:tc>
        <w:tc>
          <w:tcPr>
            <w:tcW w:w="73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占股比例</w:t>
            </w:r>
          </w:p>
        </w:tc>
        <w:tc>
          <w:tcPr>
            <w:tcW w:w="84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是否领投</w:t>
            </w:r>
          </w:p>
        </w:tc>
        <w:tc>
          <w:tcPr>
            <w:tcW w:w="84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退出时间</w:t>
            </w:r>
          </w:p>
        </w:tc>
        <w:tc>
          <w:tcPr>
            <w:tcW w:w="840"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退出方式</w:t>
            </w:r>
          </w:p>
        </w:tc>
        <w:tc>
          <w:tcPr>
            <w:tcW w:w="1260" w:type="dxa"/>
            <w:tcBorders>
              <w:top w:val="single" w:color="auto" w:sz="4" w:space="0"/>
              <w:left w:val="nil"/>
              <w:bottom w:val="single" w:color="auto" w:sz="4" w:space="0"/>
              <w:right w:val="single" w:color="auto" w:sz="4" w:space="0"/>
            </w:tcBorders>
            <w:vAlign w:val="center"/>
          </w:tcPr>
          <w:p>
            <w:pPr>
              <w:jc w:val="center"/>
              <w:rPr>
                <w:rFonts w:eastAsia="文星简仿宋" w:cs="文星简仿宋"/>
                <w:color w:val="000000"/>
                <w:kern w:val="0"/>
                <w:sz w:val="24"/>
              </w:rPr>
            </w:pPr>
            <w:r>
              <w:rPr>
                <w:rFonts w:hint="eastAsia" w:eastAsia="文星简仿宋" w:cs="文星简仿宋"/>
                <w:color w:val="000000"/>
                <w:kern w:val="0"/>
                <w:sz w:val="24"/>
              </w:rPr>
              <w:t>收益倍数及</w:t>
            </w:r>
            <w:r>
              <w:rPr>
                <w:rFonts w:eastAsia="文星简仿宋" w:cs="文星简仿宋"/>
                <w:color w:val="000000"/>
                <w:kern w:val="0"/>
                <w:sz w:val="24"/>
              </w:rPr>
              <w:t>IRR</w:t>
            </w:r>
          </w:p>
        </w:tc>
        <w:tc>
          <w:tcPr>
            <w:tcW w:w="1575" w:type="dxa"/>
            <w:tcBorders>
              <w:top w:val="single" w:color="auto" w:sz="4" w:space="0"/>
              <w:left w:val="nil"/>
              <w:bottom w:val="single" w:color="auto" w:sz="4" w:space="0"/>
              <w:right w:val="single" w:color="auto" w:sz="4" w:space="0"/>
            </w:tcBorders>
            <w:vAlign w:val="center"/>
          </w:tcPr>
          <w:p>
            <w:pPr>
              <w:jc w:val="center"/>
              <w:rPr>
                <w:rFonts w:eastAsia="文星简仿宋"/>
                <w:color w:val="000000"/>
                <w:kern w:val="0"/>
                <w:sz w:val="24"/>
              </w:rPr>
            </w:pPr>
            <w:r>
              <w:rPr>
                <w:rFonts w:hint="eastAsia" w:eastAsia="文星简仿宋" w:cs="文星简仿宋"/>
                <w:color w:val="000000"/>
                <w:kern w:val="0"/>
                <w:sz w:val="24"/>
              </w:rPr>
              <w:t>项目公司联系人及电话</w:t>
            </w:r>
          </w:p>
        </w:tc>
      </w:tr>
      <w:tr>
        <w:tblPrEx>
          <w:tblLayout w:type="fixed"/>
          <w:tblCellMar>
            <w:top w:w="0" w:type="dxa"/>
            <w:left w:w="108" w:type="dxa"/>
            <w:bottom w:w="0" w:type="dxa"/>
            <w:right w:w="108" w:type="dxa"/>
          </w:tblCellMar>
        </w:tblPrEx>
        <w:trPr>
          <w:trHeight w:val="270" w:hRule="atLeast"/>
          <w:jc w:val="center"/>
        </w:trPr>
        <w:tc>
          <w:tcPr>
            <w:tcW w:w="823"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050" w:type="dxa"/>
            <w:tcBorders>
              <w:top w:val="single" w:color="auto" w:sz="4" w:space="0"/>
              <w:left w:val="nil"/>
              <w:bottom w:val="single" w:color="auto" w:sz="4" w:space="0"/>
              <w:right w:val="single" w:color="auto" w:sz="4" w:space="0"/>
            </w:tcBorders>
            <w:vAlign w:val="center"/>
          </w:tcPr>
          <w:p>
            <w:pPr>
              <w:jc w:val="center"/>
              <w:rPr>
                <w:rFonts w:eastAsia="方正仿宋_GBK"/>
                <w:color w:val="000000"/>
                <w:kern w:val="0"/>
                <w:sz w:val="24"/>
              </w:rPr>
            </w:pPr>
          </w:p>
          <w:p>
            <w:pPr>
              <w:jc w:val="center"/>
              <w:rPr>
                <w:rFonts w:eastAsia="方正仿宋_GBK"/>
                <w:color w:val="000000"/>
                <w:kern w:val="0"/>
                <w:sz w:val="24"/>
              </w:rPr>
            </w:pPr>
          </w:p>
        </w:tc>
        <w:tc>
          <w:tcPr>
            <w:tcW w:w="157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15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73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26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57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823"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050" w:type="dxa"/>
            <w:tcBorders>
              <w:top w:val="single" w:color="auto" w:sz="4" w:space="0"/>
              <w:left w:val="nil"/>
              <w:bottom w:val="single" w:color="auto" w:sz="4" w:space="0"/>
              <w:right w:val="single" w:color="auto" w:sz="4" w:space="0"/>
            </w:tcBorders>
            <w:vAlign w:val="center"/>
          </w:tcPr>
          <w:p>
            <w:pPr>
              <w:jc w:val="center"/>
              <w:rPr>
                <w:rFonts w:eastAsia="方正仿宋_GBK"/>
                <w:color w:val="000000"/>
                <w:kern w:val="0"/>
                <w:sz w:val="24"/>
              </w:rPr>
            </w:pPr>
          </w:p>
          <w:p>
            <w:pPr>
              <w:jc w:val="center"/>
              <w:rPr>
                <w:rFonts w:eastAsia="方正仿宋_GBK"/>
                <w:color w:val="000000"/>
                <w:kern w:val="0"/>
                <w:sz w:val="24"/>
              </w:rPr>
            </w:pPr>
          </w:p>
        </w:tc>
        <w:tc>
          <w:tcPr>
            <w:tcW w:w="157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15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73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26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57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823"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050" w:type="dxa"/>
            <w:tcBorders>
              <w:top w:val="single" w:color="auto" w:sz="4" w:space="0"/>
              <w:left w:val="nil"/>
              <w:bottom w:val="single" w:color="auto" w:sz="4" w:space="0"/>
              <w:right w:val="single" w:color="auto" w:sz="4" w:space="0"/>
            </w:tcBorders>
            <w:vAlign w:val="center"/>
          </w:tcPr>
          <w:p>
            <w:pPr>
              <w:jc w:val="center"/>
              <w:rPr>
                <w:rFonts w:eastAsia="方正仿宋_GBK"/>
                <w:color w:val="000000"/>
                <w:kern w:val="0"/>
                <w:sz w:val="24"/>
              </w:rPr>
            </w:pPr>
          </w:p>
          <w:p>
            <w:pPr>
              <w:jc w:val="center"/>
              <w:rPr>
                <w:rFonts w:eastAsia="方正仿宋_GBK"/>
                <w:color w:val="000000"/>
                <w:kern w:val="0"/>
                <w:sz w:val="24"/>
              </w:rPr>
            </w:pPr>
          </w:p>
        </w:tc>
        <w:tc>
          <w:tcPr>
            <w:tcW w:w="157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15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73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26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57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823"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050" w:type="dxa"/>
            <w:tcBorders>
              <w:top w:val="single" w:color="auto" w:sz="4" w:space="0"/>
              <w:left w:val="nil"/>
              <w:bottom w:val="single" w:color="auto" w:sz="4" w:space="0"/>
              <w:right w:val="single" w:color="auto" w:sz="4" w:space="0"/>
            </w:tcBorders>
            <w:vAlign w:val="center"/>
          </w:tcPr>
          <w:p>
            <w:pPr>
              <w:jc w:val="center"/>
              <w:rPr>
                <w:rFonts w:eastAsia="方正仿宋_GBK"/>
                <w:color w:val="000000"/>
                <w:kern w:val="0"/>
                <w:sz w:val="24"/>
              </w:rPr>
            </w:pPr>
          </w:p>
          <w:p>
            <w:pPr>
              <w:jc w:val="center"/>
              <w:rPr>
                <w:rFonts w:eastAsia="方正仿宋_GBK"/>
                <w:color w:val="000000"/>
                <w:kern w:val="0"/>
                <w:sz w:val="24"/>
              </w:rPr>
            </w:pPr>
          </w:p>
        </w:tc>
        <w:tc>
          <w:tcPr>
            <w:tcW w:w="157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15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73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26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57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823"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050" w:type="dxa"/>
            <w:tcBorders>
              <w:top w:val="single" w:color="auto" w:sz="4" w:space="0"/>
              <w:left w:val="nil"/>
              <w:bottom w:val="single" w:color="auto" w:sz="4" w:space="0"/>
              <w:right w:val="single" w:color="auto" w:sz="4" w:space="0"/>
            </w:tcBorders>
            <w:vAlign w:val="center"/>
          </w:tcPr>
          <w:p>
            <w:pPr>
              <w:jc w:val="center"/>
              <w:rPr>
                <w:rFonts w:eastAsia="方正仿宋_GBK"/>
                <w:color w:val="000000"/>
                <w:kern w:val="0"/>
                <w:sz w:val="24"/>
              </w:rPr>
            </w:pPr>
          </w:p>
          <w:p>
            <w:pPr>
              <w:jc w:val="center"/>
              <w:rPr>
                <w:rFonts w:eastAsia="方正仿宋_GBK"/>
                <w:color w:val="000000"/>
                <w:kern w:val="0"/>
                <w:sz w:val="24"/>
              </w:rPr>
            </w:pPr>
          </w:p>
        </w:tc>
        <w:tc>
          <w:tcPr>
            <w:tcW w:w="157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15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73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26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57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823"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050" w:type="dxa"/>
            <w:tcBorders>
              <w:top w:val="single" w:color="auto" w:sz="4" w:space="0"/>
              <w:left w:val="nil"/>
              <w:bottom w:val="single" w:color="auto" w:sz="4" w:space="0"/>
              <w:right w:val="single" w:color="auto" w:sz="4" w:space="0"/>
            </w:tcBorders>
            <w:vAlign w:val="center"/>
          </w:tcPr>
          <w:p>
            <w:pPr>
              <w:jc w:val="center"/>
              <w:rPr>
                <w:rFonts w:eastAsia="方正仿宋_GBK"/>
                <w:color w:val="000000"/>
                <w:kern w:val="0"/>
                <w:sz w:val="24"/>
              </w:rPr>
            </w:pPr>
          </w:p>
          <w:p>
            <w:pPr>
              <w:jc w:val="center"/>
              <w:rPr>
                <w:rFonts w:eastAsia="方正仿宋_GBK"/>
                <w:color w:val="000000"/>
                <w:kern w:val="0"/>
                <w:sz w:val="24"/>
              </w:rPr>
            </w:pPr>
          </w:p>
        </w:tc>
        <w:tc>
          <w:tcPr>
            <w:tcW w:w="157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1155" w:type="dxa"/>
            <w:tcBorders>
              <w:top w:val="nil"/>
              <w:left w:val="single" w:color="auto" w:sz="4" w:space="0"/>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73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84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260"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c>
          <w:tcPr>
            <w:tcW w:w="1575" w:type="dxa"/>
            <w:tcBorders>
              <w:top w:val="nil"/>
              <w:left w:val="nil"/>
              <w:bottom w:val="single" w:color="auto" w:sz="4" w:space="0"/>
              <w:right w:val="single" w:color="auto" w:sz="4" w:space="0"/>
            </w:tcBorders>
            <w:vAlign w:val="center"/>
          </w:tcPr>
          <w:p>
            <w:pPr>
              <w:jc w:val="center"/>
              <w:rPr>
                <w:rFonts w:eastAsia="方正仿宋_GBK"/>
                <w:color w:val="000000"/>
                <w:kern w:val="0"/>
                <w:sz w:val="24"/>
              </w:rPr>
            </w:pPr>
          </w:p>
        </w:tc>
      </w:tr>
    </w:tbl>
    <w:p>
      <w:pPr>
        <w:jc w:val="left"/>
        <w:rPr>
          <w:rFonts w:eastAsia="文星简大标宋"/>
          <w:sz w:val="44"/>
          <w:szCs w:val="44"/>
        </w:rPr>
        <w:sectPr>
          <w:pgSz w:w="16838" w:h="11906" w:orient="landscape"/>
          <w:pgMar w:top="1474" w:right="1701" w:bottom="1418" w:left="1701" w:header="851" w:footer="992" w:gutter="0"/>
          <w:pgNumType w:fmt="numberInDash"/>
          <w:cols w:space="720" w:num="1"/>
          <w:docGrid w:linePitch="312" w:charSpace="0"/>
        </w:sectPr>
      </w:pPr>
    </w:p>
    <w:p>
      <w:pPr>
        <w:outlineLvl w:val="0"/>
        <w:rPr>
          <w:rFonts w:eastAsia="仿宋_GB2312"/>
          <w:color w:val="FFFFFF"/>
          <w:sz w:val="32"/>
          <w:szCs w:val="32"/>
        </w:rPr>
      </w:pPr>
      <w:bookmarkStart w:id="6" w:name="_Toc474316829"/>
      <w:r>
        <w:rPr>
          <w:rFonts w:hint="eastAsia" w:ascii="仿宋_GB2312" w:hAnsi="仿宋_GB2312" w:eastAsia="仿宋_GB2312" w:cs="仿宋_GB2312"/>
          <w:sz w:val="32"/>
          <w:szCs w:val="32"/>
        </w:rPr>
        <w:t xml:space="preserve">附件6 </w:t>
      </w:r>
      <w:r>
        <w:rPr>
          <w:rFonts w:hint="eastAsia" w:eastAsia="仿宋_GB2312" w:cs="仿宋_GB2312"/>
          <w:sz w:val="32"/>
          <w:szCs w:val="32"/>
        </w:rPr>
        <w:t xml:space="preserve"> </w:t>
      </w:r>
      <w:r>
        <w:rPr>
          <w:rFonts w:hint="eastAsia" w:eastAsia="仿宋_GB2312" w:cs="仿宋_GB2312"/>
          <w:color w:val="FFFFFF"/>
          <w:sz w:val="32"/>
          <w:szCs w:val="32"/>
        </w:rPr>
        <w:t xml:space="preserve"> </w:t>
      </w:r>
      <w:bookmarkEnd w:id="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cs="文星简大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cs="文星简大标宋"/>
          <w:sz w:val="44"/>
          <w:szCs w:val="44"/>
        </w:rPr>
      </w:pPr>
      <w:r>
        <w:rPr>
          <w:rFonts w:hint="eastAsia" w:eastAsia="方正小标宋简体" w:cs="文星简大标宋"/>
          <w:sz w:val="44"/>
          <w:szCs w:val="44"/>
          <w:lang w:val="en-US" w:eastAsia="zh-CN"/>
        </w:rPr>
        <w:t>绿色鄂尔多斯发展</w:t>
      </w:r>
      <w:r>
        <w:rPr>
          <w:rFonts w:hint="eastAsia" w:eastAsia="方正小标宋简体" w:cs="文星简大标宋"/>
          <w:sz w:val="44"/>
          <w:szCs w:val="44"/>
        </w:rPr>
        <w:t>基金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sz w:val="44"/>
          <w:szCs w:val="44"/>
        </w:rPr>
      </w:pPr>
      <w:r>
        <w:rPr>
          <w:rFonts w:hint="eastAsia" w:eastAsia="方正小标宋简体" w:cs="文星简大标宋"/>
          <w:sz w:val="44"/>
          <w:szCs w:val="44"/>
        </w:rPr>
        <w:t>申请者承诺函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我公司郑重承诺，此次为申请与</w:t>
      </w:r>
      <w:r>
        <w:rPr>
          <w:rFonts w:hint="eastAsia" w:ascii="仿宋_GB2312" w:hAnsi="仿宋_GB2312" w:eastAsia="仿宋_GB2312" w:cs="仿宋_GB2312"/>
          <w:sz w:val="32"/>
          <w:szCs w:val="32"/>
          <w:lang w:val="en-US" w:eastAsia="zh-CN"/>
        </w:rPr>
        <w:t>绿色鄂尔多斯发展</w:t>
      </w:r>
      <w:r>
        <w:rPr>
          <w:rFonts w:hint="eastAsia" w:ascii="仿宋_GB2312" w:hAnsi="仿宋_GB2312" w:eastAsia="仿宋_GB2312" w:cs="仿宋_GB2312"/>
          <w:sz w:val="32"/>
          <w:szCs w:val="32"/>
        </w:rPr>
        <w:t>基金合作所提交的全部文件及资料均真实、有效。如果出现与国家及自治区有关法律、法规严禁发生的行为，本公司将承担由此引起的一切法律责任。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120" w:firstLine="2400" w:firstLineChars="7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申请单位（签章）：</w:t>
      </w:r>
    </w:p>
    <w:p>
      <w:pPr>
        <w:keepNext w:val="0"/>
        <w:keepLines w:val="0"/>
        <w:pageBreakBefore w:val="0"/>
        <w:widowControl w:val="0"/>
        <w:kinsoku/>
        <w:wordWrap/>
        <w:overflowPunct/>
        <w:topLinePunct w:val="0"/>
        <w:autoSpaceDE/>
        <w:autoSpaceDN/>
        <w:bidi w:val="0"/>
        <w:adjustRightInd/>
        <w:snapToGrid/>
        <w:spacing w:line="560" w:lineRule="exact"/>
        <w:ind w:right="666"/>
        <w:jc w:val="right"/>
        <w:textAlignment w:val="auto"/>
        <w:rPr>
          <w:rFonts w:eastAsia="仿宋_GB2312"/>
          <w:sz w:val="32"/>
          <w:szCs w:val="32"/>
        </w:rPr>
      </w:pPr>
      <w:r>
        <w:rPr>
          <w:rFonts w:hint="eastAsia" w:ascii="仿宋_GB2312" w:hAnsi="仿宋_GB2312" w:eastAsia="仿宋_GB2312" w:cs="仿宋_GB2312"/>
          <w:sz w:val="32"/>
          <w:szCs w:val="32"/>
        </w:rPr>
        <w:t>申请时间：X年X月X日</w:t>
      </w:r>
    </w:p>
    <w:p>
      <w:pPr>
        <w:rPr>
          <w:rFonts w:ascii="仿宋" w:hAnsi="仿宋" w:eastAsia="仿宋" w:cs="仿宋"/>
          <w:sz w:val="32"/>
          <w:szCs w:val="32"/>
        </w:rPr>
      </w:pPr>
    </w:p>
    <w:sectPr>
      <w:headerReference r:id="rId5" w:type="default"/>
      <w:footerReference r:id="rId6" w:type="default"/>
      <w:footerReference r:id="rId7" w:type="even"/>
      <w:pgSz w:w="11906" w:h="16838"/>
      <w:pgMar w:top="2098" w:right="1474" w:bottom="1984" w:left="1587"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3F7AD8-7C3E-4B9E-8A64-563D4F8687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777F3F2-88A8-4C1A-95B4-4B2DD274507C}"/>
  </w:font>
  <w:font w:name="仿宋_GB2312">
    <w:panose1 w:val="02010609030101010101"/>
    <w:charset w:val="86"/>
    <w:family w:val="modern"/>
    <w:pitch w:val="default"/>
    <w:sig w:usb0="00000001" w:usb1="080E0000" w:usb2="00000000" w:usb3="00000000" w:csb0="00040000" w:csb1="00000000"/>
    <w:embedRegular r:id="rId3" w:fontKey="{60FC7422-EE93-44C8-A952-CC2124A205DC}"/>
  </w:font>
  <w:font w:name="方正小标宋简体">
    <w:panose1 w:val="03000509000000000000"/>
    <w:charset w:val="86"/>
    <w:family w:val="script"/>
    <w:pitch w:val="default"/>
    <w:sig w:usb0="00000001" w:usb1="080E0000" w:usb2="00000000" w:usb3="00000000" w:csb0="00040000" w:csb1="00000000"/>
    <w:embedRegular r:id="rId4" w:fontKey="{9A2BDA69-ADAE-43D3-B2DD-1F5A5A76A926}"/>
  </w:font>
  <w:font w:name="仿宋">
    <w:panose1 w:val="02010609060101010101"/>
    <w:charset w:val="86"/>
    <w:family w:val="modern"/>
    <w:pitch w:val="default"/>
    <w:sig w:usb0="800002BF" w:usb1="38CF7CFA" w:usb2="00000016" w:usb3="00000000" w:csb0="00040001" w:csb1="00000000"/>
    <w:embedRegular r:id="rId5" w:fontKey="{E3A22B32-2F2E-4FC6-8B2E-59FC73ACAF1F}"/>
  </w:font>
  <w:font w:name="楷体">
    <w:panose1 w:val="02010609060101010101"/>
    <w:charset w:val="86"/>
    <w:family w:val="auto"/>
    <w:pitch w:val="default"/>
    <w:sig w:usb0="800002BF" w:usb1="38CF7CFA" w:usb2="00000016" w:usb3="00000000" w:csb0="00040001" w:csb1="00000000"/>
    <w:embedRegular r:id="rId6" w:fontKey="{3B58F923-DBFE-4074-9547-988096FEF24A}"/>
  </w:font>
  <w:font w:name="文星简仿宋">
    <w:altName w:val="仿宋"/>
    <w:panose1 w:val="00000000000000000000"/>
    <w:charset w:val="86"/>
    <w:family w:val="modern"/>
    <w:pitch w:val="default"/>
    <w:sig w:usb0="00000000" w:usb1="00000000" w:usb2="00000000" w:usb3="00000000" w:csb0="00000000" w:csb1="00000000"/>
    <w:embedRegular r:id="rId7" w:fontKey="{2D10FC5D-49D4-4619-9D86-6FDDD94ACCD4}"/>
  </w:font>
  <w:font w:name="文星简大标宋">
    <w:altName w:val="黑体"/>
    <w:panose1 w:val="00000000000000000000"/>
    <w:charset w:val="86"/>
    <w:family w:val="modern"/>
    <w:pitch w:val="default"/>
    <w:sig w:usb0="00000000" w:usb1="00000000" w:usb2="00000010" w:usb3="00000000" w:csb0="00040000" w:csb1="00000000"/>
    <w:embedRegular r:id="rId8" w:fontKey="{5B156016-AF42-46E4-B5CA-FEAF847EFE0F}"/>
  </w:font>
  <w:font w:name="方正仿宋_GBK">
    <w:panose1 w:val="02000000000000000000"/>
    <w:charset w:val="86"/>
    <w:family w:val="script"/>
    <w:pitch w:val="default"/>
    <w:sig w:usb0="00000001" w:usb1="080E0000" w:usb2="00000000" w:usb3="00000000" w:csb0="00040000" w:csb1="00000000"/>
    <w:embedRegular r:id="rId9" w:fontKey="{B0FE61FF-CD39-4F42-A7E3-17B2F197369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Style w:val="15"/>
                              <w:rFonts w:ascii="宋体" w:hAnsi="宋体"/>
                              <w:sz w:val="24"/>
                              <w:szCs w:val="24"/>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2</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6"/>
                      <w:rPr>
                        <w:rStyle w:val="15"/>
                        <w:rFonts w:ascii="宋体" w:hAnsi="宋体"/>
                        <w:sz w:val="24"/>
                        <w:szCs w:val="24"/>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2</w:t>
                    </w:r>
                    <w:r>
                      <w:rPr>
                        <w:rFonts w:ascii="宋体" w:hAnsi="宋体"/>
                        <w:sz w:val="28"/>
                        <w:szCs w:val="28"/>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- 27 -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NOx3lq/AQAAZQMAAA4AAAAAAAAAAQAgAAAAHgEAAGRycy9lMm9Eb2MueG1sUEsFBgAA&#10;AAAGAAYAWQEAAE8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- 27 -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eastAsia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Dt05nRwAEAAGUDAAAOAAAAAAAAAAEAIAAAAB4BAABkcnMvZTJvRG9jLnhtbFBLBQYA&#10;AAAABgAGAFkBAABQ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3741BF"/>
    <w:multiLevelType w:val="singleLevel"/>
    <w:tmpl w:val="DB3741BF"/>
    <w:lvl w:ilvl="0" w:tentative="0">
      <w:start w:val="1"/>
      <w:numFmt w:val="decimal"/>
      <w:suff w:val="space"/>
      <w:lvlText w:val="%1."/>
      <w:lvlJc w:val="left"/>
    </w:lvl>
  </w:abstractNum>
  <w:abstractNum w:abstractNumId="1">
    <w:nsid w:val="7D28A757"/>
    <w:multiLevelType w:val="singleLevel"/>
    <w:tmpl w:val="7D28A757"/>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3C"/>
    <w:rsid w:val="00000B36"/>
    <w:rsid w:val="00001A45"/>
    <w:rsid w:val="00005B31"/>
    <w:rsid w:val="0000649F"/>
    <w:rsid w:val="000078B1"/>
    <w:rsid w:val="0001073A"/>
    <w:rsid w:val="00014315"/>
    <w:rsid w:val="00021435"/>
    <w:rsid w:val="0002720F"/>
    <w:rsid w:val="00031936"/>
    <w:rsid w:val="00035ECF"/>
    <w:rsid w:val="0004236E"/>
    <w:rsid w:val="00043FE7"/>
    <w:rsid w:val="000460EF"/>
    <w:rsid w:val="00050EE5"/>
    <w:rsid w:val="00053DB7"/>
    <w:rsid w:val="000577CF"/>
    <w:rsid w:val="000577F0"/>
    <w:rsid w:val="00062D97"/>
    <w:rsid w:val="000636F0"/>
    <w:rsid w:val="00064C83"/>
    <w:rsid w:val="00066891"/>
    <w:rsid w:val="00067158"/>
    <w:rsid w:val="00070875"/>
    <w:rsid w:val="000779C7"/>
    <w:rsid w:val="000804E6"/>
    <w:rsid w:val="0008062E"/>
    <w:rsid w:val="00081666"/>
    <w:rsid w:val="00086BB2"/>
    <w:rsid w:val="000916F7"/>
    <w:rsid w:val="000935EE"/>
    <w:rsid w:val="000963AB"/>
    <w:rsid w:val="000970E7"/>
    <w:rsid w:val="00097D0A"/>
    <w:rsid w:val="000B094E"/>
    <w:rsid w:val="000B100A"/>
    <w:rsid w:val="000B76D2"/>
    <w:rsid w:val="000C343B"/>
    <w:rsid w:val="000C429E"/>
    <w:rsid w:val="000C4FB7"/>
    <w:rsid w:val="000C51B9"/>
    <w:rsid w:val="000C5983"/>
    <w:rsid w:val="000C6BB6"/>
    <w:rsid w:val="000D16BA"/>
    <w:rsid w:val="000D4032"/>
    <w:rsid w:val="000D41E8"/>
    <w:rsid w:val="000D517B"/>
    <w:rsid w:val="000F238B"/>
    <w:rsid w:val="000F33F7"/>
    <w:rsid w:val="000F69C8"/>
    <w:rsid w:val="00115BE6"/>
    <w:rsid w:val="001162B5"/>
    <w:rsid w:val="001211CE"/>
    <w:rsid w:val="001217FA"/>
    <w:rsid w:val="00123F0D"/>
    <w:rsid w:val="00134540"/>
    <w:rsid w:val="00141930"/>
    <w:rsid w:val="0014204C"/>
    <w:rsid w:val="00142C26"/>
    <w:rsid w:val="001440A8"/>
    <w:rsid w:val="0014677B"/>
    <w:rsid w:val="001610F3"/>
    <w:rsid w:val="00162F59"/>
    <w:rsid w:val="001639F2"/>
    <w:rsid w:val="00165B70"/>
    <w:rsid w:val="00165C43"/>
    <w:rsid w:val="00166E59"/>
    <w:rsid w:val="001674CB"/>
    <w:rsid w:val="001754E2"/>
    <w:rsid w:val="00175905"/>
    <w:rsid w:val="00176151"/>
    <w:rsid w:val="00177D2C"/>
    <w:rsid w:val="001822DF"/>
    <w:rsid w:val="00183C32"/>
    <w:rsid w:val="0018450C"/>
    <w:rsid w:val="00186087"/>
    <w:rsid w:val="001861E2"/>
    <w:rsid w:val="00186AB8"/>
    <w:rsid w:val="00186F63"/>
    <w:rsid w:val="00190F00"/>
    <w:rsid w:val="00192392"/>
    <w:rsid w:val="00192E62"/>
    <w:rsid w:val="00193249"/>
    <w:rsid w:val="0019514D"/>
    <w:rsid w:val="00195F5B"/>
    <w:rsid w:val="00196721"/>
    <w:rsid w:val="001B0F61"/>
    <w:rsid w:val="001B3A3A"/>
    <w:rsid w:val="001B5E63"/>
    <w:rsid w:val="001C1CAB"/>
    <w:rsid w:val="001C31FD"/>
    <w:rsid w:val="001C35B3"/>
    <w:rsid w:val="001C4399"/>
    <w:rsid w:val="001C6092"/>
    <w:rsid w:val="001C6513"/>
    <w:rsid w:val="001D492D"/>
    <w:rsid w:val="001D7C18"/>
    <w:rsid w:val="001E3F38"/>
    <w:rsid w:val="001E5DD8"/>
    <w:rsid w:val="001F62BC"/>
    <w:rsid w:val="00200C2C"/>
    <w:rsid w:val="00207215"/>
    <w:rsid w:val="0020758F"/>
    <w:rsid w:val="00207BB5"/>
    <w:rsid w:val="002106A7"/>
    <w:rsid w:val="00214DCF"/>
    <w:rsid w:val="00220D8F"/>
    <w:rsid w:val="0022299B"/>
    <w:rsid w:val="00224829"/>
    <w:rsid w:val="00225BD5"/>
    <w:rsid w:val="00225FF5"/>
    <w:rsid w:val="00227F11"/>
    <w:rsid w:val="0024158B"/>
    <w:rsid w:val="00245B50"/>
    <w:rsid w:val="00246EF9"/>
    <w:rsid w:val="002521EF"/>
    <w:rsid w:val="00253719"/>
    <w:rsid w:val="00254B30"/>
    <w:rsid w:val="00255BA9"/>
    <w:rsid w:val="00257122"/>
    <w:rsid w:val="00262241"/>
    <w:rsid w:val="00264CC5"/>
    <w:rsid w:val="002678DF"/>
    <w:rsid w:val="0027024B"/>
    <w:rsid w:val="00270C9B"/>
    <w:rsid w:val="00275EF2"/>
    <w:rsid w:val="002800B3"/>
    <w:rsid w:val="002830B8"/>
    <w:rsid w:val="00290CDE"/>
    <w:rsid w:val="002942FF"/>
    <w:rsid w:val="00294B9F"/>
    <w:rsid w:val="002979F3"/>
    <w:rsid w:val="002A0223"/>
    <w:rsid w:val="002A0D65"/>
    <w:rsid w:val="002A158A"/>
    <w:rsid w:val="002A6BBE"/>
    <w:rsid w:val="002A6E26"/>
    <w:rsid w:val="002A6E89"/>
    <w:rsid w:val="002A7C0F"/>
    <w:rsid w:val="002B1D3F"/>
    <w:rsid w:val="002B6FF2"/>
    <w:rsid w:val="002B7252"/>
    <w:rsid w:val="002C1C03"/>
    <w:rsid w:val="002D1DEA"/>
    <w:rsid w:val="002D1FCD"/>
    <w:rsid w:val="002D31F2"/>
    <w:rsid w:val="002D633D"/>
    <w:rsid w:val="002D7A48"/>
    <w:rsid w:val="00300680"/>
    <w:rsid w:val="00300988"/>
    <w:rsid w:val="003015D8"/>
    <w:rsid w:val="0030238D"/>
    <w:rsid w:val="00304499"/>
    <w:rsid w:val="00307C6D"/>
    <w:rsid w:val="0031240D"/>
    <w:rsid w:val="003139C1"/>
    <w:rsid w:val="00315276"/>
    <w:rsid w:val="00324B5B"/>
    <w:rsid w:val="003276E7"/>
    <w:rsid w:val="003337F5"/>
    <w:rsid w:val="00336219"/>
    <w:rsid w:val="00337E1A"/>
    <w:rsid w:val="003437F4"/>
    <w:rsid w:val="00344FB9"/>
    <w:rsid w:val="0035537D"/>
    <w:rsid w:val="0035544B"/>
    <w:rsid w:val="003577E7"/>
    <w:rsid w:val="00362B72"/>
    <w:rsid w:val="00367D92"/>
    <w:rsid w:val="0037288D"/>
    <w:rsid w:val="00372E43"/>
    <w:rsid w:val="0037415D"/>
    <w:rsid w:val="003772D3"/>
    <w:rsid w:val="00377C75"/>
    <w:rsid w:val="0038090D"/>
    <w:rsid w:val="00380D8D"/>
    <w:rsid w:val="00387F37"/>
    <w:rsid w:val="003904C7"/>
    <w:rsid w:val="0039116D"/>
    <w:rsid w:val="00391718"/>
    <w:rsid w:val="003928F0"/>
    <w:rsid w:val="00392DDE"/>
    <w:rsid w:val="00393623"/>
    <w:rsid w:val="003943A2"/>
    <w:rsid w:val="0039675B"/>
    <w:rsid w:val="003A17F0"/>
    <w:rsid w:val="003B20E5"/>
    <w:rsid w:val="003B66EB"/>
    <w:rsid w:val="003C1BFC"/>
    <w:rsid w:val="003C23C9"/>
    <w:rsid w:val="003C7CFC"/>
    <w:rsid w:val="003D12AE"/>
    <w:rsid w:val="003D6674"/>
    <w:rsid w:val="003D6BCA"/>
    <w:rsid w:val="003E0C26"/>
    <w:rsid w:val="003E2452"/>
    <w:rsid w:val="003E38A7"/>
    <w:rsid w:val="003E60A3"/>
    <w:rsid w:val="003F1F2E"/>
    <w:rsid w:val="003F2FF0"/>
    <w:rsid w:val="00414C37"/>
    <w:rsid w:val="004173BE"/>
    <w:rsid w:val="004221F6"/>
    <w:rsid w:val="00426D49"/>
    <w:rsid w:val="00430E68"/>
    <w:rsid w:val="00434234"/>
    <w:rsid w:val="0044532A"/>
    <w:rsid w:val="0044644D"/>
    <w:rsid w:val="00446722"/>
    <w:rsid w:val="00452EBF"/>
    <w:rsid w:val="00461B0B"/>
    <w:rsid w:val="00470BB1"/>
    <w:rsid w:val="004713B7"/>
    <w:rsid w:val="0047195B"/>
    <w:rsid w:val="004723EB"/>
    <w:rsid w:val="00474440"/>
    <w:rsid w:val="00474CEA"/>
    <w:rsid w:val="004751AF"/>
    <w:rsid w:val="004753B1"/>
    <w:rsid w:val="00475AF8"/>
    <w:rsid w:val="00475B8F"/>
    <w:rsid w:val="00476358"/>
    <w:rsid w:val="004875C8"/>
    <w:rsid w:val="00487F0A"/>
    <w:rsid w:val="004A4956"/>
    <w:rsid w:val="004A4C08"/>
    <w:rsid w:val="004A5F76"/>
    <w:rsid w:val="004A6234"/>
    <w:rsid w:val="004A7126"/>
    <w:rsid w:val="004A726B"/>
    <w:rsid w:val="004B0F07"/>
    <w:rsid w:val="004B12EF"/>
    <w:rsid w:val="004B1751"/>
    <w:rsid w:val="004B1BC5"/>
    <w:rsid w:val="004B2557"/>
    <w:rsid w:val="004C4969"/>
    <w:rsid w:val="004C4C2B"/>
    <w:rsid w:val="004C6AB1"/>
    <w:rsid w:val="004E3CB5"/>
    <w:rsid w:val="004E71D2"/>
    <w:rsid w:val="004E797A"/>
    <w:rsid w:val="004F2E31"/>
    <w:rsid w:val="004F5A9F"/>
    <w:rsid w:val="004F7C5D"/>
    <w:rsid w:val="00500C1F"/>
    <w:rsid w:val="005035C0"/>
    <w:rsid w:val="00503707"/>
    <w:rsid w:val="0050639E"/>
    <w:rsid w:val="00506682"/>
    <w:rsid w:val="00512BD8"/>
    <w:rsid w:val="005136AE"/>
    <w:rsid w:val="00514FCF"/>
    <w:rsid w:val="00515D7E"/>
    <w:rsid w:val="005253F4"/>
    <w:rsid w:val="00530BDC"/>
    <w:rsid w:val="005350D1"/>
    <w:rsid w:val="00535C29"/>
    <w:rsid w:val="005362EB"/>
    <w:rsid w:val="0054306D"/>
    <w:rsid w:val="005443B3"/>
    <w:rsid w:val="0054532F"/>
    <w:rsid w:val="00545AFA"/>
    <w:rsid w:val="00550523"/>
    <w:rsid w:val="005533AA"/>
    <w:rsid w:val="00556071"/>
    <w:rsid w:val="005603C4"/>
    <w:rsid w:val="0056787F"/>
    <w:rsid w:val="0057045B"/>
    <w:rsid w:val="00577114"/>
    <w:rsid w:val="00581589"/>
    <w:rsid w:val="00582722"/>
    <w:rsid w:val="0058592F"/>
    <w:rsid w:val="00587D36"/>
    <w:rsid w:val="005910FD"/>
    <w:rsid w:val="00597E02"/>
    <w:rsid w:val="005A087C"/>
    <w:rsid w:val="005A121C"/>
    <w:rsid w:val="005A1D1C"/>
    <w:rsid w:val="005A1D78"/>
    <w:rsid w:val="005A2C8F"/>
    <w:rsid w:val="005A661F"/>
    <w:rsid w:val="005A72B6"/>
    <w:rsid w:val="005B6291"/>
    <w:rsid w:val="005B6EF1"/>
    <w:rsid w:val="005C3853"/>
    <w:rsid w:val="005C7949"/>
    <w:rsid w:val="005C7B67"/>
    <w:rsid w:val="005D66C7"/>
    <w:rsid w:val="005E0E7C"/>
    <w:rsid w:val="005E33A4"/>
    <w:rsid w:val="005E65B2"/>
    <w:rsid w:val="005E7211"/>
    <w:rsid w:val="005F1665"/>
    <w:rsid w:val="005F7A41"/>
    <w:rsid w:val="00602D12"/>
    <w:rsid w:val="0060784A"/>
    <w:rsid w:val="0062475D"/>
    <w:rsid w:val="00626D0B"/>
    <w:rsid w:val="00626E6E"/>
    <w:rsid w:val="0063110F"/>
    <w:rsid w:val="00633C8D"/>
    <w:rsid w:val="00637E25"/>
    <w:rsid w:val="006443AF"/>
    <w:rsid w:val="00646B6E"/>
    <w:rsid w:val="00650634"/>
    <w:rsid w:val="00654A74"/>
    <w:rsid w:val="00654A79"/>
    <w:rsid w:val="0066732F"/>
    <w:rsid w:val="00667508"/>
    <w:rsid w:val="006675AC"/>
    <w:rsid w:val="00667F29"/>
    <w:rsid w:val="00671BB5"/>
    <w:rsid w:val="00676C1C"/>
    <w:rsid w:val="00677506"/>
    <w:rsid w:val="00681257"/>
    <w:rsid w:val="00690436"/>
    <w:rsid w:val="0069075F"/>
    <w:rsid w:val="00692C44"/>
    <w:rsid w:val="00695357"/>
    <w:rsid w:val="006A0989"/>
    <w:rsid w:val="006A2A42"/>
    <w:rsid w:val="006A5EB4"/>
    <w:rsid w:val="006A6ED9"/>
    <w:rsid w:val="006A72AC"/>
    <w:rsid w:val="006B0459"/>
    <w:rsid w:val="006B4100"/>
    <w:rsid w:val="006C49CC"/>
    <w:rsid w:val="006D12DD"/>
    <w:rsid w:val="006D388B"/>
    <w:rsid w:val="006D3EF1"/>
    <w:rsid w:val="006D5590"/>
    <w:rsid w:val="006E07EF"/>
    <w:rsid w:val="006E4351"/>
    <w:rsid w:val="006E47AC"/>
    <w:rsid w:val="006E7863"/>
    <w:rsid w:val="006F1F77"/>
    <w:rsid w:val="006F40A6"/>
    <w:rsid w:val="006F4CA4"/>
    <w:rsid w:val="006F53D7"/>
    <w:rsid w:val="006F72BA"/>
    <w:rsid w:val="00700140"/>
    <w:rsid w:val="007013C1"/>
    <w:rsid w:val="00702F4E"/>
    <w:rsid w:val="00703A5C"/>
    <w:rsid w:val="00711346"/>
    <w:rsid w:val="007121A2"/>
    <w:rsid w:val="00712D31"/>
    <w:rsid w:val="00716B84"/>
    <w:rsid w:val="007207D6"/>
    <w:rsid w:val="00722E59"/>
    <w:rsid w:val="00724B3D"/>
    <w:rsid w:val="0073673C"/>
    <w:rsid w:val="00736F93"/>
    <w:rsid w:val="007404A6"/>
    <w:rsid w:val="007425AD"/>
    <w:rsid w:val="00747E5D"/>
    <w:rsid w:val="0075165D"/>
    <w:rsid w:val="0075170D"/>
    <w:rsid w:val="00771DFA"/>
    <w:rsid w:val="00773706"/>
    <w:rsid w:val="00773DC0"/>
    <w:rsid w:val="00776890"/>
    <w:rsid w:val="00780267"/>
    <w:rsid w:val="00781B60"/>
    <w:rsid w:val="007823D9"/>
    <w:rsid w:val="007862D0"/>
    <w:rsid w:val="00794811"/>
    <w:rsid w:val="00796873"/>
    <w:rsid w:val="0079748D"/>
    <w:rsid w:val="007A3A9B"/>
    <w:rsid w:val="007A7B1C"/>
    <w:rsid w:val="007B2869"/>
    <w:rsid w:val="007B3C21"/>
    <w:rsid w:val="007C394E"/>
    <w:rsid w:val="007C5795"/>
    <w:rsid w:val="007D30C4"/>
    <w:rsid w:val="007D4074"/>
    <w:rsid w:val="007D45FB"/>
    <w:rsid w:val="007D5D62"/>
    <w:rsid w:val="007D6768"/>
    <w:rsid w:val="007E1539"/>
    <w:rsid w:val="007E20EE"/>
    <w:rsid w:val="007E335B"/>
    <w:rsid w:val="007F2EBE"/>
    <w:rsid w:val="007F42DD"/>
    <w:rsid w:val="007F5918"/>
    <w:rsid w:val="007F750E"/>
    <w:rsid w:val="007F7F18"/>
    <w:rsid w:val="0080210F"/>
    <w:rsid w:val="00803065"/>
    <w:rsid w:val="00810713"/>
    <w:rsid w:val="00811002"/>
    <w:rsid w:val="00812685"/>
    <w:rsid w:val="008209F0"/>
    <w:rsid w:val="008326A3"/>
    <w:rsid w:val="00834F9E"/>
    <w:rsid w:val="008402D5"/>
    <w:rsid w:val="0084119B"/>
    <w:rsid w:val="00843A6F"/>
    <w:rsid w:val="00843FB0"/>
    <w:rsid w:val="00844E4E"/>
    <w:rsid w:val="00845775"/>
    <w:rsid w:val="00846A0D"/>
    <w:rsid w:val="00861645"/>
    <w:rsid w:val="00866D1F"/>
    <w:rsid w:val="008672C0"/>
    <w:rsid w:val="008672E6"/>
    <w:rsid w:val="008702FD"/>
    <w:rsid w:val="00871E18"/>
    <w:rsid w:val="008938A1"/>
    <w:rsid w:val="00894C7B"/>
    <w:rsid w:val="00895840"/>
    <w:rsid w:val="00896457"/>
    <w:rsid w:val="008A1AA4"/>
    <w:rsid w:val="008A3F3E"/>
    <w:rsid w:val="008A7412"/>
    <w:rsid w:val="008B0D37"/>
    <w:rsid w:val="008C0C63"/>
    <w:rsid w:val="008C2E40"/>
    <w:rsid w:val="008C312A"/>
    <w:rsid w:val="008D04FF"/>
    <w:rsid w:val="008D2CC8"/>
    <w:rsid w:val="008D5326"/>
    <w:rsid w:val="008E708D"/>
    <w:rsid w:val="008E7F38"/>
    <w:rsid w:val="008F78F6"/>
    <w:rsid w:val="009026C6"/>
    <w:rsid w:val="009030BC"/>
    <w:rsid w:val="00906ACA"/>
    <w:rsid w:val="00911F60"/>
    <w:rsid w:val="00913431"/>
    <w:rsid w:val="00913570"/>
    <w:rsid w:val="0092073A"/>
    <w:rsid w:val="009210E1"/>
    <w:rsid w:val="009213C1"/>
    <w:rsid w:val="009219E3"/>
    <w:rsid w:val="00924682"/>
    <w:rsid w:val="00924913"/>
    <w:rsid w:val="00925679"/>
    <w:rsid w:val="00925CDA"/>
    <w:rsid w:val="00927B89"/>
    <w:rsid w:val="0093087F"/>
    <w:rsid w:val="009406DB"/>
    <w:rsid w:val="00952AF7"/>
    <w:rsid w:val="00960AEE"/>
    <w:rsid w:val="009624F2"/>
    <w:rsid w:val="0096553C"/>
    <w:rsid w:val="00966B27"/>
    <w:rsid w:val="00967B43"/>
    <w:rsid w:val="00981985"/>
    <w:rsid w:val="009830CF"/>
    <w:rsid w:val="00983C5B"/>
    <w:rsid w:val="009870EB"/>
    <w:rsid w:val="00990C99"/>
    <w:rsid w:val="00991CC2"/>
    <w:rsid w:val="009928D4"/>
    <w:rsid w:val="0099446C"/>
    <w:rsid w:val="00996651"/>
    <w:rsid w:val="009A1C58"/>
    <w:rsid w:val="009A326B"/>
    <w:rsid w:val="009A5B87"/>
    <w:rsid w:val="009A7A9D"/>
    <w:rsid w:val="009B3E64"/>
    <w:rsid w:val="009C0A50"/>
    <w:rsid w:val="009D1035"/>
    <w:rsid w:val="009E16E7"/>
    <w:rsid w:val="009F1B8C"/>
    <w:rsid w:val="009F3A8A"/>
    <w:rsid w:val="009F68BC"/>
    <w:rsid w:val="009F7D55"/>
    <w:rsid w:val="00A047E0"/>
    <w:rsid w:val="00A07035"/>
    <w:rsid w:val="00A10579"/>
    <w:rsid w:val="00A135DA"/>
    <w:rsid w:val="00A2028A"/>
    <w:rsid w:val="00A208D7"/>
    <w:rsid w:val="00A30966"/>
    <w:rsid w:val="00A32369"/>
    <w:rsid w:val="00A33E96"/>
    <w:rsid w:val="00A372E0"/>
    <w:rsid w:val="00A451B2"/>
    <w:rsid w:val="00A47A4F"/>
    <w:rsid w:val="00A47F40"/>
    <w:rsid w:val="00A47FD9"/>
    <w:rsid w:val="00A51A84"/>
    <w:rsid w:val="00A57FDF"/>
    <w:rsid w:val="00A763F8"/>
    <w:rsid w:val="00A827DF"/>
    <w:rsid w:val="00A91129"/>
    <w:rsid w:val="00A91B91"/>
    <w:rsid w:val="00A92D30"/>
    <w:rsid w:val="00A958A2"/>
    <w:rsid w:val="00A97E3E"/>
    <w:rsid w:val="00AA280B"/>
    <w:rsid w:val="00AA3D50"/>
    <w:rsid w:val="00AA5765"/>
    <w:rsid w:val="00AA6230"/>
    <w:rsid w:val="00AB30CD"/>
    <w:rsid w:val="00AB3518"/>
    <w:rsid w:val="00AB59B0"/>
    <w:rsid w:val="00AB6456"/>
    <w:rsid w:val="00AB66F3"/>
    <w:rsid w:val="00AB7B9A"/>
    <w:rsid w:val="00AB7D78"/>
    <w:rsid w:val="00AC4CE6"/>
    <w:rsid w:val="00AC5407"/>
    <w:rsid w:val="00AC576E"/>
    <w:rsid w:val="00AC5B0A"/>
    <w:rsid w:val="00AD0016"/>
    <w:rsid w:val="00AD0228"/>
    <w:rsid w:val="00AD20B6"/>
    <w:rsid w:val="00AD3D11"/>
    <w:rsid w:val="00AD57C7"/>
    <w:rsid w:val="00AD58BA"/>
    <w:rsid w:val="00AD75E8"/>
    <w:rsid w:val="00AE0760"/>
    <w:rsid w:val="00AE0D60"/>
    <w:rsid w:val="00AE70A2"/>
    <w:rsid w:val="00AF008F"/>
    <w:rsid w:val="00AF3C88"/>
    <w:rsid w:val="00B03DC0"/>
    <w:rsid w:val="00B05341"/>
    <w:rsid w:val="00B05A52"/>
    <w:rsid w:val="00B10FCC"/>
    <w:rsid w:val="00B13C97"/>
    <w:rsid w:val="00B1529E"/>
    <w:rsid w:val="00B16335"/>
    <w:rsid w:val="00B20A45"/>
    <w:rsid w:val="00B23D5B"/>
    <w:rsid w:val="00B24AFD"/>
    <w:rsid w:val="00B26645"/>
    <w:rsid w:val="00B310F2"/>
    <w:rsid w:val="00B362EF"/>
    <w:rsid w:val="00B41B1D"/>
    <w:rsid w:val="00B42903"/>
    <w:rsid w:val="00B44FBB"/>
    <w:rsid w:val="00B454D9"/>
    <w:rsid w:val="00B51DB5"/>
    <w:rsid w:val="00B51EAC"/>
    <w:rsid w:val="00B5483D"/>
    <w:rsid w:val="00B57B25"/>
    <w:rsid w:val="00B66A50"/>
    <w:rsid w:val="00B67965"/>
    <w:rsid w:val="00B717DD"/>
    <w:rsid w:val="00B76190"/>
    <w:rsid w:val="00B82D72"/>
    <w:rsid w:val="00B8310E"/>
    <w:rsid w:val="00B91B0E"/>
    <w:rsid w:val="00BA1E3A"/>
    <w:rsid w:val="00BA63AE"/>
    <w:rsid w:val="00BB531E"/>
    <w:rsid w:val="00BC4A68"/>
    <w:rsid w:val="00BC5AB4"/>
    <w:rsid w:val="00BC6137"/>
    <w:rsid w:val="00BC6611"/>
    <w:rsid w:val="00BD180D"/>
    <w:rsid w:val="00BD6835"/>
    <w:rsid w:val="00BE2F95"/>
    <w:rsid w:val="00BE67F7"/>
    <w:rsid w:val="00BF1D9E"/>
    <w:rsid w:val="00BF6992"/>
    <w:rsid w:val="00C00914"/>
    <w:rsid w:val="00C017C9"/>
    <w:rsid w:val="00C07466"/>
    <w:rsid w:val="00C12ACB"/>
    <w:rsid w:val="00C148DE"/>
    <w:rsid w:val="00C15CC8"/>
    <w:rsid w:val="00C16B9F"/>
    <w:rsid w:val="00C202D5"/>
    <w:rsid w:val="00C20AC2"/>
    <w:rsid w:val="00C25224"/>
    <w:rsid w:val="00C26BF7"/>
    <w:rsid w:val="00C30778"/>
    <w:rsid w:val="00C30CEF"/>
    <w:rsid w:val="00C33A29"/>
    <w:rsid w:val="00C36A17"/>
    <w:rsid w:val="00C4009B"/>
    <w:rsid w:val="00C41399"/>
    <w:rsid w:val="00C45F2F"/>
    <w:rsid w:val="00C46D0A"/>
    <w:rsid w:val="00C50571"/>
    <w:rsid w:val="00C5231C"/>
    <w:rsid w:val="00C53534"/>
    <w:rsid w:val="00C61129"/>
    <w:rsid w:val="00C735A5"/>
    <w:rsid w:val="00C77695"/>
    <w:rsid w:val="00C77A54"/>
    <w:rsid w:val="00C87078"/>
    <w:rsid w:val="00C91103"/>
    <w:rsid w:val="00C913D3"/>
    <w:rsid w:val="00C9573A"/>
    <w:rsid w:val="00C95E24"/>
    <w:rsid w:val="00CA02B5"/>
    <w:rsid w:val="00CA14FC"/>
    <w:rsid w:val="00CA6F1C"/>
    <w:rsid w:val="00CB4144"/>
    <w:rsid w:val="00CB4839"/>
    <w:rsid w:val="00CB51C8"/>
    <w:rsid w:val="00CB6ACF"/>
    <w:rsid w:val="00CC2B96"/>
    <w:rsid w:val="00CC5B08"/>
    <w:rsid w:val="00CC6281"/>
    <w:rsid w:val="00CD12FD"/>
    <w:rsid w:val="00CD562C"/>
    <w:rsid w:val="00CE0A63"/>
    <w:rsid w:val="00CE1AE9"/>
    <w:rsid w:val="00CE3905"/>
    <w:rsid w:val="00CF0C9B"/>
    <w:rsid w:val="00CF1EB9"/>
    <w:rsid w:val="00CF2879"/>
    <w:rsid w:val="00D011DA"/>
    <w:rsid w:val="00D03F2A"/>
    <w:rsid w:val="00D07659"/>
    <w:rsid w:val="00D14171"/>
    <w:rsid w:val="00D15EC0"/>
    <w:rsid w:val="00D16705"/>
    <w:rsid w:val="00D20EA9"/>
    <w:rsid w:val="00D226AC"/>
    <w:rsid w:val="00D253BE"/>
    <w:rsid w:val="00D312CD"/>
    <w:rsid w:val="00D36F87"/>
    <w:rsid w:val="00D4167E"/>
    <w:rsid w:val="00D45E99"/>
    <w:rsid w:val="00D46BA8"/>
    <w:rsid w:val="00D500E2"/>
    <w:rsid w:val="00D50F04"/>
    <w:rsid w:val="00D513D2"/>
    <w:rsid w:val="00D52B2F"/>
    <w:rsid w:val="00D53153"/>
    <w:rsid w:val="00D54D71"/>
    <w:rsid w:val="00D5636B"/>
    <w:rsid w:val="00D63CD4"/>
    <w:rsid w:val="00D6546D"/>
    <w:rsid w:val="00D7097B"/>
    <w:rsid w:val="00D71C93"/>
    <w:rsid w:val="00D72E33"/>
    <w:rsid w:val="00D73414"/>
    <w:rsid w:val="00D7385B"/>
    <w:rsid w:val="00D847BE"/>
    <w:rsid w:val="00D852B9"/>
    <w:rsid w:val="00D86427"/>
    <w:rsid w:val="00D871E4"/>
    <w:rsid w:val="00D87922"/>
    <w:rsid w:val="00D9123E"/>
    <w:rsid w:val="00D924D5"/>
    <w:rsid w:val="00DA1128"/>
    <w:rsid w:val="00DA127E"/>
    <w:rsid w:val="00DA30BF"/>
    <w:rsid w:val="00DA5173"/>
    <w:rsid w:val="00DA5A4B"/>
    <w:rsid w:val="00DA62C5"/>
    <w:rsid w:val="00DA6F3F"/>
    <w:rsid w:val="00DA72C4"/>
    <w:rsid w:val="00DB099A"/>
    <w:rsid w:val="00DB42B3"/>
    <w:rsid w:val="00DB6EB2"/>
    <w:rsid w:val="00DB742F"/>
    <w:rsid w:val="00DC47B5"/>
    <w:rsid w:val="00DC7D49"/>
    <w:rsid w:val="00DC7DBD"/>
    <w:rsid w:val="00DC7EDC"/>
    <w:rsid w:val="00DD5CDC"/>
    <w:rsid w:val="00DE2234"/>
    <w:rsid w:val="00DE41CB"/>
    <w:rsid w:val="00DF0FBF"/>
    <w:rsid w:val="00DF14DF"/>
    <w:rsid w:val="00DF3F9F"/>
    <w:rsid w:val="00E03813"/>
    <w:rsid w:val="00E05976"/>
    <w:rsid w:val="00E05B31"/>
    <w:rsid w:val="00E06169"/>
    <w:rsid w:val="00E10550"/>
    <w:rsid w:val="00E1351F"/>
    <w:rsid w:val="00E13CCA"/>
    <w:rsid w:val="00E210B4"/>
    <w:rsid w:val="00E25336"/>
    <w:rsid w:val="00E274D1"/>
    <w:rsid w:val="00E31769"/>
    <w:rsid w:val="00E3666F"/>
    <w:rsid w:val="00E373AF"/>
    <w:rsid w:val="00E40599"/>
    <w:rsid w:val="00E41166"/>
    <w:rsid w:val="00E411B0"/>
    <w:rsid w:val="00E418BD"/>
    <w:rsid w:val="00E41E90"/>
    <w:rsid w:val="00E62042"/>
    <w:rsid w:val="00E66478"/>
    <w:rsid w:val="00E7550A"/>
    <w:rsid w:val="00E805BC"/>
    <w:rsid w:val="00E9178D"/>
    <w:rsid w:val="00E9656F"/>
    <w:rsid w:val="00E9691C"/>
    <w:rsid w:val="00E9705C"/>
    <w:rsid w:val="00EA0343"/>
    <w:rsid w:val="00EA0478"/>
    <w:rsid w:val="00EA125B"/>
    <w:rsid w:val="00EA2A8F"/>
    <w:rsid w:val="00EA3BC1"/>
    <w:rsid w:val="00EA3CB2"/>
    <w:rsid w:val="00EB2F3E"/>
    <w:rsid w:val="00EB4031"/>
    <w:rsid w:val="00EB5843"/>
    <w:rsid w:val="00EB5FFD"/>
    <w:rsid w:val="00EB6573"/>
    <w:rsid w:val="00EC4C72"/>
    <w:rsid w:val="00ED1DA0"/>
    <w:rsid w:val="00ED2364"/>
    <w:rsid w:val="00ED43A3"/>
    <w:rsid w:val="00ED4A3D"/>
    <w:rsid w:val="00ED6B00"/>
    <w:rsid w:val="00ED7B91"/>
    <w:rsid w:val="00EE284D"/>
    <w:rsid w:val="00EE2FC8"/>
    <w:rsid w:val="00EF798F"/>
    <w:rsid w:val="00F077A2"/>
    <w:rsid w:val="00F11818"/>
    <w:rsid w:val="00F145AB"/>
    <w:rsid w:val="00F206F3"/>
    <w:rsid w:val="00F21F74"/>
    <w:rsid w:val="00F22F9D"/>
    <w:rsid w:val="00F25AE2"/>
    <w:rsid w:val="00F26269"/>
    <w:rsid w:val="00F313ED"/>
    <w:rsid w:val="00F320B9"/>
    <w:rsid w:val="00F329BE"/>
    <w:rsid w:val="00F35DBF"/>
    <w:rsid w:val="00F3648F"/>
    <w:rsid w:val="00F36C6C"/>
    <w:rsid w:val="00F44ECC"/>
    <w:rsid w:val="00F47D5B"/>
    <w:rsid w:val="00F50633"/>
    <w:rsid w:val="00F53D94"/>
    <w:rsid w:val="00F541C6"/>
    <w:rsid w:val="00F55F4F"/>
    <w:rsid w:val="00F56AA6"/>
    <w:rsid w:val="00F57356"/>
    <w:rsid w:val="00F62222"/>
    <w:rsid w:val="00F630C1"/>
    <w:rsid w:val="00F64D6C"/>
    <w:rsid w:val="00F665F6"/>
    <w:rsid w:val="00F71092"/>
    <w:rsid w:val="00F77C3D"/>
    <w:rsid w:val="00F82DF9"/>
    <w:rsid w:val="00F8407B"/>
    <w:rsid w:val="00F87627"/>
    <w:rsid w:val="00F9568C"/>
    <w:rsid w:val="00FA11E6"/>
    <w:rsid w:val="00FA150E"/>
    <w:rsid w:val="00FA4394"/>
    <w:rsid w:val="00FA4C56"/>
    <w:rsid w:val="00FA674C"/>
    <w:rsid w:val="00FB0570"/>
    <w:rsid w:val="00FB06C6"/>
    <w:rsid w:val="00FB1B96"/>
    <w:rsid w:val="00FB3F0C"/>
    <w:rsid w:val="00FC0162"/>
    <w:rsid w:val="00FC051F"/>
    <w:rsid w:val="00FC35A3"/>
    <w:rsid w:val="00FC5155"/>
    <w:rsid w:val="00FC60FC"/>
    <w:rsid w:val="00FD65F7"/>
    <w:rsid w:val="00FD6B95"/>
    <w:rsid w:val="00FE09ED"/>
    <w:rsid w:val="00FE4742"/>
    <w:rsid w:val="00FE5886"/>
    <w:rsid w:val="00FF0CC7"/>
    <w:rsid w:val="00FF268B"/>
    <w:rsid w:val="00FF6971"/>
    <w:rsid w:val="03461073"/>
    <w:rsid w:val="04F27434"/>
    <w:rsid w:val="075444DC"/>
    <w:rsid w:val="07C500E3"/>
    <w:rsid w:val="08322656"/>
    <w:rsid w:val="0ACE1C22"/>
    <w:rsid w:val="0F074EB9"/>
    <w:rsid w:val="14B43A04"/>
    <w:rsid w:val="17C65776"/>
    <w:rsid w:val="184F1B72"/>
    <w:rsid w:val="188A71E8"/>
    <w:rsid w:val="195C5C70"/>
    <w:rsid w:val="1B056AB2"/>
    <w:rsid w:val="216F056E"/>
    <w:rsid w:val="23147C6E"/>
    <w:rsid w:val="24883C5D"/>
    <w:rsid w:val="2E1574BC"/>
    <w:rsid w:val="332B58B6"/>
    <w:rsid w:val="35453974"/>
    <w:rsid w:val="39F621A9"/>
    <w:rsid w:val="39FF2F37"/>
    <w:rsid w:val="3A6C244E"/>
    <w:rsid w:val="3B0869B8"/>
    <w:rsid w:val="3D731049"/>
    <w:rsid w:val="3E763146"/>
    <w:rsid w:val="3F5B763D"/>
    <w:rsid w:val="403274DB"/>
    <w:rsid w:val="40442409"/>
    <w:rsid w:val="41F63F0B"/>
    <w:rsid w:val="42E17E35"/>
    <w:rsid w:val="43EC6627"/>
    <w:rsid w:val="4689155B"/>
    <w:rsid w:val="46FA74E2"/>
    <w:rsid w:val="499275C2"/>
    <w:rsid w:val="4B5A7F9E"/>
    <w:rsid w:val="533F2574"/>
    <w:rsid w:val="53A62764"/>
    <w:rsid w:val="57B57D4D"/>
    <w:rsid w:val="5C7A2BCE"/>
    <w:rsid w:val="60DA436F"/>
    <w:rsid w:val="61577A9D"/>
    <w:rsid w:val="67B60753"/>
    <w:rsid w:val="687104B2"/>
    <w:rsid w:val="69987352"/>
    <w:rsid w:val="6D394575"/>
    <w:rsid w:val="6D70720E"/>
    <w:rsid w:val="6F6B4CB4"/>
    <w:rsid w:val="702A7B52"/>
    <w:rsid w:val="731624A4"/>
    <w:rsid w:val="74720FFE"/>
    <w:rsid w:val="759C1220"/>
    <w:rsid w:val="77830C65"/>
    <w:rsid w:val="794D0D40"/>
    <w:rsid w:val="7B3B07D5"/>
    <w:rsid w:val="7BC549F6"/>
    <w:rsid w:val="7E4F5121"/>
    <w:rsid w:val="7FA15F4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4"/>
    <w:semiHidden/>
    <w:unhideWhenUsed/>
    <w:qFormat/>
    <w:uiPriority w:val="99"/>
    <w:rPr>
      <w:rFonts w:ascii="宋体"/>
      <w:sz w:val="18"/>
      <w:szCs w:val="18"/>
    </w:rPr>
  </w:style>
  <w:style w:type="paragraph" w:styleId="4">
    <w:name w:val="annotation text"/>
    <w:basedOn w:val="1"/>
    <w:link w:val="26"/>
    <w:semiHidden/>
    <w:unhideWhenUsed/>
    <w:qFormat/>
    <w:uiPriority w:val="99"/>
    <w:pPr>
      <w:jc w:val="left"/>
    </w:pPr>
  </w:style>
  <w:style w:type="paragraph" w:styleId="5">
    <w:name w:val="Balloon Text"/>
    <w:basedOn w:val="1"/>
    <w:link w:val="19"/>
    <w:qFormat/>
    <w:uiPriority w:val="99"/>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locked/>
    <w:uiPriority w:val="0"/>
  </w:style>
  <w:style w:type="paragraph" w:styleId="9">
    <w:name w:val="toc 2"/>
    <w:basedOn w:val="1"/>
    <w:next w:val="1"/>
    <w:qFormat/>
    <w:locked/>
    <w:uiPriority w:val="0"/>
    <w:pPr>
      <w:ind w:left="420" w:leftChars="200"/>
    </w:p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7"/>
    <w:semiHidden/>
    <w:unhideWhenUsed/>
    <w:qFormat/>
    <w:uiPriority w:val="99"/>
    <w:rPr>
      <w:b/>
      <w:bCs/>
    </w:rPr>
  </w:style>
  <w:style w:type="table" w:styleId="13">
    <w:name w:val="Table Grid"/>
    <w:basedOn w:val="1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Emphasis"/>
    <w:basedOn w:val="14"/>
    <w:qFormat/>
    <w:uiPriority w:val="99"/>
    <w:rPr>
      <w:rFonts w:cs="Times New Roman"/>
      <w:i/>
      <w:iCs/>
    </w:rPr>
  </w:style>
  <w:style w:type="character" w:styleId="17">
    <w:name w:val="Hyperlink"/>
    <w:basedOn w:val="14"/>
    <w:qFormat/>
    <w:uiPriority w:val="99"/>
    <w:rPr>
      <w:rFonts w:cs="Times New Roman"/>
      <w:color w:val="0000FF"/>
      <w:u w:val="single"/>
    </w:rPr>
  </w:style>
  <w:style w:type="character" w:styleId="18">
    <w:name w:val="annotation reference"/>
    <w:basedOn w:val="14"/>
    <w:semiHidden/>
    <w:unhideWhenUsed/>
    <w:qFormat/>
    <w:uiPriority w:val="99"/>
    <w:rPr>
      <w:sz w:val="21"/>
      <w:szCs w:val="21"/>
    </w:rPr>
  </w:style>
  <w:style w:type="character" w:customStyle="1" w:styleId="19">
    <w:name w:val="批注框文本 Char"/>
    <w:basedOn w:val="14"/>
    <w:link w:val="5"/>
    <w:semiHidden/>
    <w:qFormat/>
    <w:locked/>
    <w:uiPriority w:val="99"/>
    <w:rPr>
      <w:rFonts w:ascii="Times New Roman" w:hAnsi="Times New Roman" w:eastAsia="宋体" w:cs="Times New Roman"/>
      <w:sz w:val="18"/>
      <w:szCs w:val="18"/>
    </w:rPr>
  </w:style>
  <w:style w:type="character" w:customStyle="1" w:styleId="20">
    <w:name w:val="页脚 Char"/>
    <w:basedOn w:val="14"/>
    <w:link w:val="6"/>
    <w:qFormat/>
    <w:locked/>
    <w:uiPriority w:val="99"/>
    <w:rPr>
      <w:rFonts w:ascii="Times New Roman" w:hAnsi="Times New Roman" w:eastAsia="宋体" w:cs="Times New Roman"/>
      <w:sz w:val="18"/>
      <w:szCs w:val="18"/>
    </w:rPr>
  </w:style>
  <w:style w:type="character" w:customStyle="1" w:styleId="21">
    <w:name w:val="页眉 Char"/>
    <w:basedOn w:val="14"/>
    <w:link w:val="7"/>
    <w:qFormat/>
    <w:locked/>
    <w:uiPriority w:val="99"/>
    <w:rPr>
      <w:rFonts w:ascii="Times New Roman" w:hAnsi="Times New Roman" w:eastAsia="宋体" w:cs="Times New Roman"/>
      <w:sz w:val="18"/>
      <w:szCs w:val="18"/>
    </w:rPr>
  </w:style>
  <w:style w:type="paragraph" w:customStyle="1" w:styleId="22">
    <w:name w:val="列出段落1"/>
    <w:basedOn w:val="1"/>
    <w:qFormat/>
    <w:uiPriority w:val="99"/>
    <w:pPr>
      <w:ind w:firstLine="420" w:firstLineChars="200"/>
    </w:pPr>
  </w:style>
  <w:style w:type="paragraph" w:styleId="23">
    <w:name w:val="List Paragraph"/>
    <w:basedOn w:val="1"/>
    <w:unhideWhenUsed/>
    <w:qFormat/>
    <w:uiPriority w:val="99"/>
    <w:pPr>
      <w:ind w:firstLine="420" w:firstLineChars="200"/>
    </w:pPr>
  </w:style>
  <w:style w:type="character" w:customStyle="1" w:styleId="24">
    <w:name w:val="文档结构图 Char"/>
    <w:basedOn w:val="14"/>
    <w:link w:val="3"/>
    <w:semiHidden/>
    <w:qFormat/>
    <w:uiPriority w:val="99"/>
    <w:rPr>
      <w:rFonts w:ascii="宋体"/>
      <w:kern w:val="2"/>
      <w:sz w:val="18"/>
      <w:szCs w:val="18"/>
    </w:rPr>
  </w:style>
  <w:style w:type="paragraph" w:customStyle="1" w:styleId="25">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6">
    <w:name w:val="批注文字 Char"/>
    <w:basedOn w:val="14"/>
    <w:link w:val="4"/>
    <w:semiHidden/>
    <w:qFormat/>
    <w:uiPriority w:val="99"/>
    <w:rPr>
      <w:kern w:val="2"/>
      <w:sz w:val="21"/>
      <w:szCs w:val="24"/>
    </w:rPr>
  </w:style>
  <w:style w:type="character" w:customStyle="1" w:styleId="27">
    <w:name w:val="批注主题 Char"/>
    <w:basedOn w:val="26"/>
    <w:link w:val="11"/>
    <w:semiHidden/>
    <w:qFormat/>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D5710-BA54-439E-9F53-D3E0EA60C20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578</Words>
  <Characters>3301</Characters>
  <Lines>27</Lines>
  <Paragraphs>7</Paragraphs>
  <TotalTime>10</TotalTime>
  <ScaleCrop>false</ScaleCrop>
  <LinksUpToDate>false</LinksUpToDate>
  <CharactersWithSpaces>3872</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2019-04-17T07:41:00Z</dcterms:created>
  <dc:creator>Windows 用户</dc:creator>
  <cp:lastModifiedBy>(･´з`･)BIU~</cp:lastModifiedBy>
  <cp:lastPrinted>2019-07-22T05:11:00Z</cp:lastPrinted>
  <dcterms:modified xsi:type="dcterms:W3CDTF">2019-07-22T10:41:57Z</dcterms:modified>
  <dc:title>山东省省级股权投资引导基金申请指南</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